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customXml/itemProps1.xml" ContentType="application/vnd.openxmlformats-officedocument.customXmlProperties+xml"/>
  <Override PartName="/word/numbering.xml" ContentType="application/vnd.openxmlformats-officedocument.wordprocessingml.numbering+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pPr>
        <w:pStyle w:val="style0"/>
        <w:spacing w:after="120"/>
        <w:jc w:val="center"/>
        <w:rPr>
          <w:b/>
          <w:sz w:val="48"/>
          <w:szCs w:val="15"/>
        </w:rPr>
      </w:pPr>
    </w:p>
    <w:p>
      <w:pPr>
        <w:pStyle w:val="style0"/>
        <w:spacing w:after="120"/>
        <w:jc w:val="center"/>
        <w:rPr>
          <w:b/>
          <w:sz w:val="48"/>
          <w:szCs w:val="15"/>
        </w:rPr>
      </w:pPr>
    </w:p>
    <w:p>
      <w:pPr>
        <w:pStyle w:val="style0"/>
        <w:spacing w:after="120" w:lineRule="auto" w:line="480"/>
        <w:jc w:val="center"/>
        <w:rPr>
          <w:b/>
          <w:sz w:val="48"/>
          <w:szCs w:val="15"/>
        </w:rPr>
      </w:pPr>
      <w:r>
        <w:rPr>
          <w:rFonts w:hint="eastAsia"/>
          <w:b/>
          <w:sz w:val="48"/>
          <w:szCs w:val="15"/>
        </w:rPr>
        <w:t>宁波市东方理工高等研究院新型研究型</w:t>
      </w:r>
    </w:p>
    <w:p>
      <w:pPr>
        <w:pStyle w:val="style0"/>
        <w:spacing w:after="120" w:lineRule="auto" w:line="480"/>
        <w:jc w:val="center"/>
        <w:rPr>
          <w:b/>
          <w:sz w:val="48"/>
          <w:szCs w:val="15"/>
        </w:rPr>
      </w:pPr>
      <w:r>
        <w:rPr>
          <w:rFonts w:hint="eastAsia"/>
          <w:b/>
          <w:sz w:val="48"/>
          <w:szCs w:val="15"/>
        </w:rPr>
        <w:t>大学校园建设项目永久校区</w:t>
      </w:r>
    </w:p>
    <w:p>
      <w:pPr>
        <w:pStyle w:val="style0"/>
        <w:spacing w:after="120" w:lineRule="auto" w:line="480"/>
        <w:jc w:val="center"/>
        <w:rPr>
          <w:b/>
          <w:sz w:val="48"/>
          <w:szCs w:val="15"/>
        </w:rPr>
      </w:pPr>
      <w:r>
        <w:rPr>
          <w:rFonts w:hint="eastAsia"/>
          <w:b/>
          <w:sz w:val="48"/>
          <w:szCs w:val="15"/>
        </w:rPr>
        <w:t>一期-1标段二施工总承包</w:t>
      </w:r>
    </w:p>
    <w:p>
      <w:pPr>
        <w:pStyle w:val="style67"/>
        <w:jc w:val="center"/>
        <w:rPr/>
      </w:pPr>
      <w:r>
        <w:rPr>
          <w:rFonts w:hint="eastAsia"/>
          <w:b/>
          <w:sz w:val="48"/>
          <w:szCs w:val="15"/>
        </w:rPr>
        <w:t>报名公告</w:t>
      </w:r>
    </w:p>
    <w:p>
      <w:pPr>
        <w:pStyle w:val="style0"/>
        <w:spacing w:after="120" w:lineRule="auto" w:line="480"/>
        <w:ind w:firstLine="482" w:firstLineChars="100"/>
        <w:rPr>
          <w:b/>
          <w:sz w:val="48"/>
          <w:szCs w:val="15"/>
        </w:rPr>
      </w:pPr>
    </w:p>
    <w:p>
      <w:pPr>
        <w:pStyle w:val="style67"/>
        <w:rPr>
          <w:b/>
          <w:sz w:val="48"/>
          <w:szCs w:val="15"/>
        </w:rPr>
      </w:pPr>
    </w:p>
    <w:p>
      <w:pPr>
        <w:pStyle w:val="style67"/>
        <w:rPr>
          <w:b/>
          <w:sz w:val="48"/>
          <w:szCs w:val="15"/>
        </w:rPr>
      </w:pPr>
    </w:p>
    <w:p>
      <w:pPr>
        <w:pStyle w:val="style67"/>
        <w:rPr>
          <w:b/>
          <w:sz w:val="48"/>
          <w:szCs w:val="15"/>
        </w:rPr>
      </w:pPr>
    </w:p>
    <w:p>
      <w:pPr>
        <w:pStyle w:val="style67"/>
        <w:rPr>
          <w:b/>
          <w:sz w:val="48"/>
          <w:szCs w:val="15"/>
        </w:rPr>
      </w:pPr>
    </w:p>
    <w:p>
      <w:pPr>
        <w:pStyle w:val="style67"/>
        <w:rPr>
          <w:b/>
          <w:sz w:val="48"/>
          <w:szCs w:val="15"/>
        </w:rPr>
      </w:pPr>
    </w:p>
    <w:p>
      <w:pPr>
        <w:pStyle w:val="style67"/>
        <w:rPr>
          <w:b/>
          <w:sz w:val="48"/>
          <w:szCs w:val="15"/>
        </w:rPr>
      </w:pPr>
    </w:p>
    <w:p>
      <w:pPr>
        <w:pStyle w:val="style67"/>
        <w:rPr>
          <w:b/>
          <w:sz w:val="48"/>
          <w:szCs w:val="15"/>
        </w:rPr>
      </w:pPr>
    </w:p>
    <w:p>
      <w:pPr>
        <w:pStyle w:val="style67"/>
        <w:rPr>
          <w:b/>
          <w:sz w:val="48"/>
          <w:szCs w:val="15"/>
        </w:rPr>
      </w:pPr>
    </w:p>
    <w:p>
      <w:pPr>
        <w:pStyle w:val="style0"/>
        <w:snapToGrid w:val="false"/>
        <w:spacing w:before="156" w:beforeLines="50" w:lineRule="auto" w:line="360"/>
        <w:jc w:val="center"/>
        <w:rPr>
          <w:sz w:val="28"/>
          <w:szCs w:val="28"/>
        </w:rPr>
      </w:pPr>
      <w:r>
        <w:rPr>
          <w:rFonts w:hint="eastAsia"/>
          <w:sz w:val="28"/>
          <w:szCs w:val="28"/>
        </w:rPr>
        <w:t xml:space="preserve">采购人名称：   宁波市东方理工高等研究院   </w:t>
      </w:r>
    </w:p>
    <w:p>
      <w:pPr>
        <w:pStyle w:val="style0"/>
        <w:snapToGrid w:val="false"/>
        <w:spacing w:before="156" w:beforeLines="50" w:lineRule="auto" w:line="360"/>
        <w:jc w:val="center"/>
        <w:rPr>
          <w:sz w:val="28"/>
          <w:szCs w:val="28"/>
        </w:rPr>
      </w:pPr>
    </w:p>
    <w:p>
      <w:pPr>
        <w:pStyle w:val="style0"/>
        <w:snapToGrid w:val="false"/>
        <w:spacing w:before="156" w:beforeLines="50" w:lineRule="auto" w:line="360"/>
        <w:jc w:val="center"/>
        <w:rPr>
          <w:sz w:val="28"/>
          <w:szCs w:val="28"/>
        </w:rPr>
      </w:pPr>
      <w:r>
        <w:rPr>
          <w:rFonts w:hint="eastAsia"/>
          <w:sz w:val="28"/>
          <w:szCs w:val="28"/>
        </w:rPr>
        <w:t>代建管理方名称：深圳市润置城市建设管理有限公司</w:t>
      </w:r>
    </w:p>
    <w:p>
      <w:pPr>
        <w:pStyle w:val="style179"/>
        <w:ind w:firstLine="0" w:firstLineChars="0"/>
        <w:rPr>
          <w:sz w:val="28"/>
          <w:szCs w:val="28"/>
        </w:rPr>
      </w:pPr>
    </w:p>
    <w:p>
      <w:pPr>
        <w:pStyle w:val="style0"/>
        <w:snapToGrid w:val="false"/>
        <w:spacing w:before="156" w:beforeLines="50" w:lineRule="auto" w:line="360"/>
        <w:jc w:val="center"/>
        <w:rPr>
          <w:b/>
          <w:sz w:val="48"/>
          <w:szCs w:val="15"/>
        </w:rPr>
      </w:pPr>
      <w:r>
        <w:rPr>
          <w:rFonts w:hint="eastAsia"/>
          <w:sz w:val="28"/>
          <w:szCs w:val="28"/>
        </w:rPr>
        <w:t xml:space="preserve"> 2023 年  4  月</w:t>
      </w:r>
    </w:p>
    <w:p>
      <w:pPr>
        <w:pStyle w:val="style0"/>
        <w:spacing w:after="120" w:lineRule="auto" w:line="480"/>
        <w:ind w:firstLine="442" w:firstLineChars="100"/>
        <w:jc w:val="center"/>
        <w:rPr>
          <w:b/>
          <w:sz w:val="44"/>
          <w:szCs w:val="44"/>
        </w:rPr>
      </w:pPr>
    </w:p>
    <w:p>
      <w:pPr>
        <w:pStyle w:val="style0"/>
        <w:spacing w:after="120" w:lineRule="auto" w:line="480"/>
        <w:ind w:firstLine="442" w:firstLineChars="100"/>
        <w:jc w:val="center"/>
        <w:rPr>
          <w:b/>
          <w:sz w:val="44"/>
          <w:szCs w:val="44"/>
        </w:rPr>
      </w:pPr>
    </w:p>
    <w:p>
      <w:pPr>
        <w:pStyle w:val="style0"/>
        <w:spacing w:after="120" w:lineRule="auto" w:line="480"/>
        <w:ind w:firstLine="883" w:firstLineChars="200"/>
        <w:rPr>
          <w:b/>
          <w:sz w:val="44"/>
          <w:szCs w:val="44"/>
        </w:rPr>
      </w:pPr>
      <w:r>
        <w:rPr>
          <w:rFonts w:hint="eastAsia"/>
          <w:b/>
          <w:sz w:val="44"/>
          <w:szCs w:val="44"/>
        </w:rPr>
        <w:t>永久校区一期-1标段二施工总承包</w:t>
      </w:r>
    </w:p>
    <w:p>
      <w:pPr>
        <w:pStyle w:val="style0"/>
        <w:spacing w:after="120" w:lineRule="auto" w:line="480"/>
        <w:ind w:firstLine="442" w:firstLineChars="100"/>
        <w:jc w:val="center"/>
        <w:rPr>
          <w:rFonts w:ascii="宋体" w:cs="宋体" w:hAnsi="宋体"/>
          <w:sz w:val="24"/>
        </w:rPr>
      </w:pPr>
      <w:r>
        <w:rPr>
          <w:rFonts w:hint="eastAsia"/>
          <w:b/>
          <w:sz w:val="44"/>
          <w:szCs w:val="44"/>
        </w:rPr>
        <w:t>报名公告</w:t>
      </w:r>
      <w:r>
        <w:rPr>
          <w:rFonts w:hint="eastAsia"/>
          <w:b/>
          <w:sz w:val="48"/>
          <w:szCs w:val="15"/>
        </w:rPr>
        <w:br/>
      </w:r>
      <w:r>
        <w:rPr>
          <w:rFonts w:hint="eastAsia"/>
          <w:b/>
          <w:sz w:val="48"/>
          <w:szCs w:val="15"/>
        </w:rPr>
        <w:t xml:space="preserve">  </w:t>
      </w:r>
      <w:r>
        <w:rPr>
          <w:rFonts w:ascii="宋体" w:cs="宋体" w:hAnsi="宋体" w:hint="eastAsia"/>
          <w:b/>
          <w:sz w:val="24"/>
        </w:rPr>
        <w:t xml:space="preserve"> </w:t>
      </w:r>
      <w:r>
        <w:rPr>
          <w:rFonts w:ascii="宋体" w:cs="宋体" w:hAnsi="宋体" w:hint="eastAsia"/>
          <w:bCs/>
          <w:sz w:val="24"/>
          <w:u w:val="single"/>
        </w:rPr>
        <w:t>深圳市润置城市建设管理有限公司</w:t>
      </w:r>
      <w:r>
        <w:rPr>
          <w:rFonts w:ascii="宋体" w:cs="宋体" w:hAnsi="宋体" w:hint="eastAsia"/>
          <w:sz w:val="24"/>
        </w:rPr>
        <w:t>（以下称代建单位）受</w:t>
      </w:r>
      <w:r>
        <w:rPr>
          <w:rFonts w:ascii="宋体" w:cs="宋体" w:hAnsi="宋体" w:hint="eastAsia"/>
          <w:sz w:val="24"/>
          <w:u w:val="single"/>
        </w:rPr>
        <w:t xml:space="preserve">宁波市东方理工高等研究院 </w:t>
      </w:r>
      <w:r>
        <w:rPr>
          <w:rFonts w:ascii="宋体" w:cs="宋体" w:hAnsi="宋体" w:hint="eastAsia"/>
          <w:sz w:val="24"/>
        </w:rPr>
        <w:t>（以下称采购人）的委托，就</w:t>
      </w:r>
      <w:r>
        <w:rPr>
          <w:rFonts w:ascii="宋体" w:cs="宋体" w:hAnsi="宋体" w:hint="eastAsia"/>
          <w:sz w:val="24"/>
          <w:u w:val="single"/>
        </w:rPr>
        <w:t>宁波市东方理工高等研究院新型研究</w:t>
      </w:r>
      <w:bookmarkStart w:id="0" w:name="_GoBack"/>
      <w:bookmarkEnd w:id="0"/>
      <w:r>
        <w:rPr>
          <w:rFonts w:ascii="宋体" w:cs="宋体" w:hAnsi="宋体" w:hint="eastAsia"/>
          <w:sz w:val="24"/>
          <w:u w:val="single"/>
        </w:rPr>
        <w:t>型大学校园建设项目永久校区一期-1（标段二）建设工程施工总承包单位信息</w:t>
      </w:r>
      <w:r>
        <w:rPr>
          <w:rFonts w:ascii="宋体" w:cs="宋体" w:hAnsi="宋体" w:hint="eastAsia"/>
          <w:sz w:val="24"/>
        </w:rPr>
        <w:t>组织公开报名，诚邀符合条件的潜在总承包单位参加报名，择优邀请参与投标。</w:t>
      </w:r>
    </w:p>
    <w:p>
      <w:pPr>
        <w:pStyle w:val="style94"/>
        <w:widowControl/>
        <w:numPr>
          <w:ilvl w:val="0"/>
          <w:numId w:val="1"/>
        </w:numPr>
        <w:spacing w:before="0" w:beforeAutospacing="false" w:after="0" w:afterAutospacing="false" w:lineRule="auto" w:line="480"/>
        <w:ind w:left="40" w:firstLine="480"/>
        <w:rPr>
          <w:rFonts w:ascii="宋体" w:cs="宋体" w:hAnsi="宋体"/>
          <w:u w:val="single"/>
        </w:rPr>
      </w:pPr>
      <w:r>
        <w:rPr>
          <w:rFonts w:ascii="宋体" w:cs="宋体" w:hAnsi="宋体" w:hint="eastAsia"/>
        </w:rPr>
        <w:t>项目名称：</w:t>
      </w:r>
      <w:r>
        <w:rPr>
          <w:rFonts w:ascii="宋体" w:cs="宋体" w:hAnsi="宋体" w:hint="eastAsia"/>
          <w:u w:val="single"/>
        </w:rPr>
        <w:t>宁波市东方理工高等研究院新型研究型大学校园建设项目永久校区一期-1（标段二）建设工程施工总承包单位报名。</w:t>
      </w:r>
    </w:p>
    <w:p>
      <w:pPr>
        <w:pStyle w:val="style94"/>
        <w:widowControl/>
        <w:spacing w:before="0" w:beforeAutospacing="false" w:after="0" w:afterAutospacing="false" w:lineRule="auto" w:line="480"/>
        <w:ind w:left="520"/>
        <w:rPr>
          <w:rFonts w:ascii="宋体" w:cs="宋体" w:hAnsi="宋体"/>
          <w:u w:val="single"/>
        </w:rPr>
      </w:pPr>
      <w:r>
        <w:rPr/>
        <w:drawing>
          <wp:inline distL="0" distT="0" distB="0" distR="0">
            <wp:extent cx="4125595" cy="2222500"/>
            <wp:effectExtent l="0" t="0" r="0" b="0"/>
            <wp:docPr id="1026" name="图片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图片 1"/>
                    <pic:cNvPicPr/>
                  </pic:nvPicPr>
                  <pic:blipFill>
                    <a:blip r:embed="rId2" cstate="print"/>
                    <a:srcRect l="0" t="0" r="0" b="0"/>
                    <a:stretch/>
                  </pic:blipFill>
                  <pic:spPr>
                    <a:xfrm rot="0">
                      <a:off x="0" y="0"/>
                      <a:ext cx="4125595" cy="2222500"/>
                    </a:xfrm>
                    <a:prstGeom prst="rect"/>
                    <a:ln>
                      <a:noFill/>
                    </a:ln>
                  </pic:spPr>
                </pic:pic>
              </a:graphicData>
            </a:graphic>
          </wp:inline>
        </w:drawing>
      </w:r>
    </w:p>
    <w:p>
      <w:pPr>
        <w:pStyle w:val="style94"/>
        <w:widowControl/>
        <w:spacing w:before="0" w:beforeAutospacing="false" w:after="0" w:afterAutospacing="false" w:lineRule="auto" w:line="480"/>
        <w:ind w:left="520"/>
        <w:rPr>
          <w:rFonts w:ascii="宋体" w:cs="宋体" w:hAnsi="宋体"/>
        </w:rPr>
      </w:pPr>
      <w:r>
        <w:rPr>
          <w:rFonts w:ascii="宋体" w:cs="宋体" w:hAnsi="宋体" w:hint="eastAsia"/>
        </w:rPr>
        <w:t>二、项目概况：本标段建筑面积18.78万平米，包含核心岛区域，包含图书馆、公共教学楼、教学实验楼、商学院、人文社科中心、校行政办公等单体，建安费用约18亿元。</w:t>
      </w:r>
    </w:p>
    <w:p>
      <w:pPr>
        <w:pStyle w:val="style94"/>
        <w:widowControl/>
        <w:spacing w:before="0" w:beforeAutospacing="false" w:after="0" w:afterAutospacing="false" w:lineRule="auto" w:line="480"/>
        <w:ind w:left="520"/>
        <w:rPr>
          <w:rFonts w:ascii="宋体" w:cs="宋体" w:hAnsi="宋体"/>
        </w:rPr>
      </w:pPr>
      <w:r>
        <w:rPr>
          <w:rFonts w:ascii="宋体" w:cs="宋体" w:hAnsi="宋体" w:hint="eastAsia"/>
        </w:rPr>
        <w:t>三、工期：</w:t>
      </w:r>
      <w:r>
        <w:rPr>
          <w:rFonts w:ascii="宋体" w:cs="宋体" w:hAnsi="宋体" w:hint="eastAsia"/>
          <w:u w:val="single"/>
        </w:rPr>
        <w:t xml:space="preserve"> 约22个月 (计划2023年6月25日开工)</w:t>
      </w:r>
      <w:r>
        <w:rPr>
          <w:rFonts w:ascii="宋体" w:cs="宋体" w:hAnsi="宋体" w:hint="eastAsia"/>
        </w:rPr>
        <w:t>。</w:t>
      </w:r>
    </w:p>
    <w:p>
      <w:pPr>
        <w:pStyle w:val="style94"/>
        <w:widowControl/>
        <w:spacing w:before="0" w:beforeAutospacing="false" w:after="0" w:afterAutospacing="false" w:lineRule="auto" w:line="480"/>
        <w:ind w:left="520"/>
        <w:rPr>
          <w:rFonts w:ascii="宋体" w:cs="宋体" w:hAnsi="宋体"/>
        </w:rPr>
      </w:pPr>
      <w:r>
        <w:rPr>
          <w:rFonts w:ascii="宋体" w:cs="宋体" w:hAnsi="宋体" w:hint="eastAsia"/>
        </w:rPr>
        <w:t>四、潜在的报名方资格：</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1、报名方具有独立的法人资格，具备有效的营业执照。</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2、资质要求：具备建筑工程施工总承包特级资质。</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3、业绩要求：公司近5年内已竣工的单个合同额达到10亿元以上或单项目建筑面积10万平米以上的公建项目。（提供施工许可证、合同复印件、竣工验收报告、获奖证书等证明材料）。</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4、项目负责人要求：建筑工程专业注册建造师一级、安全B本，负责的单个合同额8亿元以上的公建项目或单项目建筑面积8万平米以上的公建项目</w:t>
      </w:r>
      <w:r>
        <w:rPr>
          <w:rFonts w:ascii="宋体" w:cs="宋体" w:hAnsi="宋体" w:hint="default"/>
          <w:lang w:val="en-US"/>
        </w:rPr>
        <w:t>或</w:t>
      </w:r>
      <w:r>
        <w:rPr>
          <w:rFonts w:ascii="宋体" w:cs="宋体" w:hAnsi="宋体" w:hint="eastAsia"/>
        </w:rPr>
        <w:t>负责的公建类项目获鲁班奖（提供证书、合同、竣工报告、并提供社保）。</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5、投标人的信用情况；投标人、法定代表人、项目负责人未被“信用中国”列入严重失信主体名单和“信用中国（浙江）”列入黑名单。</w:t>
      </w:r>
    </w:p>
    <w:p>
      <w:pPr>
        <w:pStyle w:val="style94"/>
        <w:widowControl/>
        <w:spacing w:before="0" w:beforeAutospacing="false" w:after="0" w:afterAutospacing="false" w:lineRule="auto" w:line="480"/>
        <w:ind w:firstLine="480"/>
        <w:rPr>
          <w:rFonts w:ascii="sans-serif" w:cs="sans-serif" w:hAnsi="sans-serif"/>
          <w:color w:val="333333"/>
          <w:spacing w:val="2"/>
          <w:shd w:val="clear" w:color="auto" w:fill="ffffff"/>
        </w:rPr>
      </w:pPr>
      <w:r>
        <w:rPr>
          <w:rFonts w:ascii="宋体" w:cs="宋体" w:hAnsi="宋体" w:hint="eastAsia"/>
        </w:rPr>
        <w:t>6、报名方具备安全生产条件，取得有效安全生产许可证，并在人员、设备、资金等方面具有相应的施工能力，</w:t>
      </w:r>
      <w:r>
        <w:rPr>
          <w:rFonts w:ascii="sans-serif" w:cs="sans-serif" w:eastAsia="sans-serif" w:hAnsi="sans-serif"/>
          <w:color w:val="333333"/>
          <w:spacing w:val="2"/>
          <w:shd w:val="clear" w:color="auto" w:fill="ffffff"/>
        </w:rPr>
        <w:t>拟</w:t>
      </w:r>
      <w:r>
        <w:rPr>
          <w:rFonts w:ascii="sans-serif" w:cs="sans-serif" w:hAnsi="sans-serif" w:hint="eastAsia"/>
          <w:color w:val="333333"/>
          <w:spacing w:val="2"/>
          <w:shd w:val="clear" w:color="auto" w:fill="ffffff"/>
        </w:rPr>
        <w:t>报名</w:t>
      </w:r>
      <w:r>
        <w:rPr>
          <w:rFonts w:ascii="sans-serif" w:cs="sans-serif" w:eastAsia="sans-serif" w:hAnsi="sans-serif"/>
          <w:color w:val="333333"/>
          <w:spacing w:val="2"/>
          <w:shd w:val="clear" w:color="auto" w:fill="ffffff"/>
        </w:rPr>
        <w:t>单位近三年（截止时间为本</w:t>
      </w:r>
      <w:r>
        <w:rPr>
          <w:rFonts w:ascii="sans-serif" w:cs="sans-serif" w:hAnsi="sans-serif" w:hint="eastAsia"/>
          <w:color w:val="333333"/>
          <w:spacing w:val="2"/>
          <w:shd w:val="clear" w:color="auto" w:fill="ffffff"/>
        </w:rPr>
        <w:t>报名</w:t>
      </w:r>
      <w:r>
        <w:rPr>
          <w:rFonts w:ascii="sans-serif" w:cs="sans-serif" w:eastAsia="sans-serif" w:hAnsi="sans-serif"/>
          <w:color w:val="333333"/>
          <w:spacing w:val="2"/>
          <w:shd w:val="clear" w:color="auto" w:fill="ffffff"/>
        </w:rPr>
        <w:t>公告发布日）无重特大安全生产责任事故</w:t>
      </w:r>
      <w:r>
        <w:rPr>
          <w:rFonts w:ascii="sans-serif" w:cs="sans-serif" w:hAnsi="sans-serif" w:hint="eastAsia"/>
          <w:color w:val="333333"/>
          <w:spacing w:val="2"/>
          <w:shd w:val="clear" w:color="auto" w:fill="ffffff"/>
        </w:rPr>
        <w:t>。</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7、本项目不接受联合体报名。</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8、学校保留要求各投标单位提供其他资料的权利。</w:t>
      </w:r>
    </w:p>
    <w:p>
      <w:pPr>
        <w:pStyle w:val="style94"/>
        <w:widowControl/>
        <w:spacing w:before="0" w:beforeAutospacing="false" w:after="0" w:afterAutospacing="false" w:lineRule="auto" w:line="480"/>
        <w:ind w:firstLine="482"/>
        <w:rPr>
          <w:rFonts w:ascii="宋体" w:cs="宋体" w:hAnsi="宋体"/>
        </w:rPr>
      </w:pPr>
      <w:r>
        <w:rPr>
          <w:rFonts w:ascii="宋体" w:cs="宋体" w:hAnsi="宋体" w:hint="eastAsia"/>
          <w:b/>
          <w:bCs/>
        </w:rPr>
        <w:t>请报名方认真对照资格条件，如不符合要求的，无意或故意参与报名所产生的一切后果由报名方自行承担，评审过程中，报名方提供的相关证件为虚假或伪造，或者其他人员持法定代表人或授权委托人的身份证参与报名，一经发现则取消报名方资格。</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五、报名文件接收：</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1、凡符合报名资格要求并有意参加者，请于</w:t>
      </w:r>
      <w:r>
        <w:rPr>
          <w:rFonts w:ascii="宋体" w:cs="宋体" w:hAnsi="宋体" w:hint="eastAsia"/>
          <w:b/>
          <w:bCs/>
        </w:rPr>
        <w:t>2023年04月21日12:00</w:t>
      </w:r>
      <w:r>
        <w:rPr>
          <w:rFonts w:ascii="宋体" w:cs="宋体" w:hAnsi="宋体" w:hint="eastAsia"/>
        </w:rPr>
        <w:t>前至</w:t>
      </w:r>
      <w:r>
        <w:rPr>
          <w:rFonts w:ascii="宋体" w:cs="宋体" w:hAnsi="宋体" w:hint="eastAsia"/>
          <w:bCs/>
        </w:rPr>
        <w:t>宁波市镇海区同心路568号开元新青年广场2号楼9楼</w:t>
      </w:r>
      <w:r>
        <w:rPr>
          <w:rFonts w:ascii="宋体" w:cs="宋体" w:hAnsi="宋体" w:hint="eastAsia"/>
        </w:rPr>
        <w:t>递交报名文件（纸质版一式三份，电子版一份）。</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rPr>
        <w:t>2</w:t>
      </w:r>
      <w:r>
        <w:rPr>
          <w:rFonts w:ascii="宋体" w:cs="宋体" w:hAnsi="宋体" w:hint="eastAsia"/>
        </w:rPr>
        <w:t>、凡有意参加者请于</w:t>
      </w:r>
      <w:r>
        <w:rPr>
          <w:rFonts w:ascii="宋体" w:cs="宋体" w:hAnsi="宋体" w:hint="eastAsia"/>
          <w:b/>
          <w:bCs/>
        </w:rPr>
        <w:t>2023年04月21日12:00</w:t>
      </w:r>
      <w:r>
        <w:rPr>
          <w:rFonts w:ascii="宋体" w:cs="宋体" w:hAnsi="宋体" w:hint="eastAsia"/>
        </w:rPr>
        <w:t>前通过电子邮箱方式将《采购报名表》发送至（CRLD_NBDFLGHY_ZY@crland.com.cn）。</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rPr>
        <w:t>3</w:t>
      </w:r>
      <w:r>
        <w:rPr>
          <w:rFonts w:ascii="宋体" w:cs="宋体" w:hAnsi="宋体" w:hint="eastAsia"/>
        </w:rPr>
        <w:t>、有关本次报名的事项若存在变动或修改，敬请及时关注东方理工高等研究院官网（https://www.eias.ac.cn/）、宁波市阳光采购服务平台（http://ygcg.nbcqjy.org/home）发布的信息更正公告，恕不另行通知，如有遗漏采购人概不负责。</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六、报名资料清单：</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1、公司营业执照、资质证书（建筑工程施工总承包特级资质）、安全生产许可证等相关复印件；</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2、近5年内已竣工的单个合同额达到10亿元以上或单项目建筑面积10万平米以上的公建项目。（提供施工许可证、合同复印件、竣工验收报告、获奖证书等证明材料）；</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3、拟派项目负责人、技术总工、施工负责人主要管理人员业绩、获奖情况；（项目负责人：建筑工程专业注册建造师一级、安全B本；技术总工：高级工程师，工作年限15年及以上；施工负责人：具有中级及以上职称（或建筑工程专业注册建造师一级）、工作年限10年及以上；主要管理人员具有中级及以上职称，工作年限5年及以上；（提供简历表、注册证书、获奖证书、社保、业绩证明资料等）；</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4、近三年（2020-2022年）经第三方审计的财务报告，营业额及资产负债率情况；若2022年第三方财务第三方审计还未完成，则提供（2019-2021年）经第三方审计的财务报告;</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5、投标人的信用情况：投标人、法定代表人、项目负责人未被“信用中国”列入严重失信主体名单和“信用中国（浙江）”列入黑名单;</w:t>
      </w:r>
    </w:p>
    <w:p>
      <w:pPr>
        <w:pStyle w:val="style94"/>
        <w:widowControl/>
        <w:spacing w:before="0" w:beforeAutospacing="false" w:after="0" w:afterAutospacing="false" w:lineRule="auto" w:line="480"/>
        <w:ind w:left="2" w:firstLine="480"/>
        <w:rPr>
          <w:rFonts w:ascii="宋体" w:cs="宋体" w:hAnsi="宋体"/>
        </w:rPr>
      </w:pPr>
      <w:r>
        <w:rPr>
          <w:rFonts w:ascii="宋体" w:cs="宋体" w:hAnsi="宋体" w:hint="eastAsia"/>
        </w:rPr>
        <w:t>6、投标人认为有必要的其他资料（提供团队架构等支持、高校和科研院所建设相关的材料、类似相关业绩）。</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七、报名文件接收截止时间：</w:t>
      </w:r>
      <w:r>
        <w:rPr>
          <w:rFonts w:ascii="宋体" w:cs="宋体" w:hAnsi="宋体" w:hint="eastAsia"/>
          <w:b/>
          <w:bCs/>
        </w:rPr>
        <w:t>2023年04月21日12:00</w:t>
      </w:r>
      <w:r>
        <w:rPr>
          <w:rFonts w:ascii="宋体" w:cs="宋体" w:hAnsi="宋体" w:hint="eastAsia"/>
        </w:rPr>
        <w:t>前。</w:t>
      </w:r>
    </w:p>
    <w:p>
      <w:pPr>
        <w:pStyle w:val="style94"/>
        <w:widowControl/>
        <w:spacing w:before="0" w:beforeAutospacing="false" w:after="0" w:afterAutospacing="false" w:lineRule="auto" w:line="480"/>
        <w:ind w:firstLine="480"/>
        <w:rPr>
          <w:rFonts w:ascii="宋体" w:cs="宋体" w:hAnsi="宋体"/>
        </w:rPr>
      </w:pPr>
      <w:r>
        <w:rPr>
          <w:rFonts w:ascii="宋体" w:cs="宋体" w:hAnsi="宋体" w:hint="eastAsia"/>
        </w:rPr>
        <w:t>八、联系方式</w:t>
      </w:r>
    </w:p>
    <w:p>
      <w:pPr>
        <w:pStyle w:val="style0"/>
        <w:adjustRightInd w:val="false"/>
        <w:snapToGrid w:val="false"/>
        <w:spacing w:lineRule="auto" w:line="480"/>
        <w:ind w:firstLine="480" w:firstLineChars="200"/>
        <w:rPr>
          <w:rFonts w:ascii="宋体" w:cs="宋体" w:hAnsi="宋体"/>
          <w:sz w:val="24"/>
        </w:rPr>
      </w:pPr>
      <w:r>
        <w:rPr>
          <w:rFonts w:ascii="宋体" w:cs="宋体" w:hAnsi="宋体" w:hint="eastAsia"/>
          <w:sz w:val="24"/>
        </w:rPr>
        <w:t>（一）、采购人：宁波市东方理工高等研究院</w:t>
      </w:r>
    </w:p>
    <w:p>
      <w:pPr>
        <w:pStyle w:val="style94"/>
        <w:widowControl/>
        <w:numPr>
          <w:ilvl w:val="0"/>
          <w:numId w:val="2"/>
        </w:numPr>
        <w:spacing w:before="0" w:beforeAutospacing="false" w:after="0" w:afterAutospacing="false" w:lineRule="auto" w:line="480"/>
        <w:ind w:firstLine="480"/>
        <w:rPr>
          <w:rFonts w:ascii="宋体" w:cs="宋体" w:hAnsi="宋体"/>
          <w:bCs/>
          <w:u w:val="single"/>
        </w:rPr>
      </w:pPr>
      <w:r>
        <w:rPr>
          <w:rFonts w:ascii="宋体" w:cs="宋体" w:hAnsi="宋体" w:hint="eastAsia"/>
        </w:rPr>
        <w:t>、代建单位：</w:t>
      </w:r>
      <w:r>
        <w:rPr>
          <w:rFonts w:ascii="宋体" w:cs="宋体" w:hAnsi="宋体" w:hint="eastAsia"/>
          <w:bCs/>
          <w:u w:val="single"/>
        </w:rPr>
        <w:t>深圳市润置城市建设管理有限公司</w:t>
      </w:r>
    </w:p>
    <w:p>
      <w:pPr>
        <w:pStyle w:val="style94"/>
        <w:widowControl/>
        <w:spacing w:before="0" w:beforeAutospacing="false" w:after="0" w:afterAutospacing="false" w:lineRule="auto" w:line="480"/>
        <w:ind w:firstLine="1440" w:firstLineChars="600"/>
        <w:rPr>
          <w:rFonts w:ascii="宋体" w:cs="宋体" w:hAnsi="宋体"/>
          <w:bCs/>
          <w:u w:val="single"/>
        </w:rPr>
      </w:pPr>
      <w:r>
        <w:rPr>
          <w:rFonts w:ascii="宋体" w:cs="宋体" w:hAnsi="宋体" w:hint="eastAsia"/>
        </w:rPr>
        <w:t>联系人：孔令娟          联系电话：18505830822</w:t>
      </w:r>
    </w:p>
    <w:p>
      <w:pPr>
        <w:pStyle w:val="style94"/>
        <w:widowControl/>
        <w:spacing w:before="0" w:beforeAutospacing="false" w:after="0" w:afterAutospacing="false" w:lineRule="auto" w:line="480"/>
        <w:ind w:firstLine="960" w:firstLineChars="400"/>
        <w:rPr>
          <w:rFonts w:ascii="宋体" w:cs="宋体" w:hAnsi="宋体"/>
          <w:bCs/>
        </w:rPr>
      </w:pPr>
      <w:r>
        <w:rPr>
          <w:rFonts w:ascii="宋体" w:cs="宋体" w:hAnsi="宋体" w:hint="eastAsia"/>
        </w:rPr>
        <w:t>地 址：</w:t>
      </w:r>
      <w:r>
        <w:rPr>
          <w:rFonts w:ascii="宋体" w:cs="宋体" w:hAnsi="宋体" w:hint="eastAsia"/>
          <w:bCs/>
        </w:rPr>
        <w:t>宁波市镇海区同心路568号开元新青年广场2号楼9楼</w:t>
      </w: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pPr>
    </w:p>
    <w:p>
      <w:pPr>
        <w:pStyle w:val="style94"/>
        <w:widowControl/>
        <w:spacing w:before="0" w:beforeAutospacing="false" w:after="0" w:afterAutospacing="false" w:lineRule="auto" w:line="480"/>
        <w:ind w:firstLine="960" w:firstLineChars="400"/>
        <w:rPr>
          <w:rFonts w:ascii="宋体" w:cs="宋体" w:hAnsi="宋体"/>
          <w:bCs/>
        </w:rPr>
        <w:sectPr>
          <w:footerReference w:type="default" r:id="rId3"/>
          <w:pgSz w:w="11906" w:h="16838" w:orient="portrait"/>
          <w:pgMar w:top="1440" w:right="1800" w:bottom="1440" w:left="1800" w:header="851" w:footer="992" w:gutter="0"/>
          <w:cols w:space="720" w:num="1"/>
          <w:docGrid w:type="lines" w:linePitch="312" w:charSpace="0"/>
        </w:sectPr>
      </w:pPr>
    </w:p>
    <w:p>
      <w:pPr>
        <w:pStyle w:val="style0"/>
        <w:jc w:val="center"/>
        <w:rPr>
          <w:b/>
          <w:spacing w:val="38"/>
          <w:sz w:val="44"/>
          <w:szCs w:val="44"/>
        </w:rPr>
      </w:pPr>
      <w:r>
        <w:rPr>
          <w:rFonts w:hint="eastAsia"/>
          <w:b/>
          <w:spacing w:val="38"/>
          <w:sz w:val="44"/>
          <w:szCs w:val="44"/>
        </w:rPr>
        <w:t>采购报名表</w:t>
      </w:r>
    </w:p>
    <w:p>
      <w:pPr>
        <w:pStyle w:val="style0"/>
        <w:spacing w:lineRule="exact" w:line="600"/>
        <w:rPr>
          <w:bCs/>
          <w:sz w:val="24"/>
        </w:rPr>
      </w:pPr>
    </w:p>
    <w:p>
      <w:pPr>
        <w:pStyle w:val="style0"/>
        <w:spacing w:lineRule="exact" w:line="600"/>
        <w:rPr>
          <w:bCs/>
          <w:sz w:val="24"/>
        </w:rPr>
      </w:pPr>
      <w:r>
        <w:rPr>
          <w:rFonts w:hint="eastAsia"/>
          <w:bCs/>
          <w:sz w:val="24"/>
        </w:rPr>
        <w:t>采购项目名称：</w:t>
      </w:r>
      <w:r>
        <w:rPr>
          <w:rFonts w:hint="eastAsia"/>
          <w:bCs/>
          <w:sz w:val="24"/>
          <w:u w:val="single"/>
        </w:rPr>
        <w:t>宁波市东方理工高等研究院新型研究型大学校园建设项目永久校区一期-1（标段二）建设工程施工总承包</w:t>
      </w:r>
      <w:r>
        <w:rPr>
          <w:rFonts w:hint="eastAsia"/>
          <w:bCs/>
          <w:sz w:val="24"/>
        </w:rPr>
        <w:t xml:space="preserve">  </w:t>
      </w:r>
      <w:r>
        <w:rPr>
          <w:bCs/>
          <w:sz w:val="24"/>
        </w:rPr>
        <w:t xml:space="preserve">          </w:t>
      </w:r>
    </w:p>
    <w:p>
      <w:pPr>
        <w:pStyle w:val="style0"/>
        <w:spacing w:lineRule="exact" w:line="600"/>
        <w:rPr>
          <w:bCs/>
          <w:sz w:val="24"/>
        </w:rPr>
      </w:pPr>
      <w:r>
        <w:rPr>
          <w:rFonts w:hint="eastAsia"/>
          <w:bCs/>
          <w:sz w:val="24"/>
        </w:rPr>
        <w:t>采购单位：</w:t>
      </w:r>
      <w:r>
        <w:rPr>
          <w:rFonts w:hint="eastAsia"/>
          <w:bCs/>
          <w:sz w:val="24"/>
          <w:u w:val="single"/>
        </w:rPr>
        <w:t>宁波市东方理工高等研究院</w:t>
      </w:r>
      <w:r>
        <w:rPr>
          <w:rFonts w:hint="eastAsia"/>
          <w:bCs/>
          <w:sz w:val="24"/>
        </w:rPr>
        <w:t xml:space="preserve">   </w:t>
      </w:r>
      <w:r>
        <w:rPr>
          <w:bCs/>
          <w:sz w:val="24"/>
        </w:rPr>
        <w:t xml:space="preserve">   </w:t>
      </w:r>
      <w:r>
        <w:rPr>
          <w:rFonts w:hint="eastAsia"/>
          <w:bCs/>
          <w:sz w:val="24"/>
        </w:rPr>
        <w:t>联系人：</w:t>
      </w:r>
      <w:r>
        <w:rPr>
          <w:rFonts w:hint="eastAsia"/>
          <w:bCs/>
          <w:sz w:val="24"/>
          <w:u w:val="single"/>
        </w:rPr>
        <w:t xml:space="preserve"> 孔令娟</w:t>
      </w:r>
      <w:r>
        <w:rPr>
          <w:bCs/>
          <w:sz w:val="24"/>
          <w:u w:val="single"/>
        </w:rPr>
        <w:t xml:space="preserve"> </w:t>
      </w:r>
      <w:r>
        <w:rPr>
          <w:rFonts w:hint="eastAsia"/>
          <w:bCs/>
          <w:sz w:val="24"/>
        </w:rPr>
        <w:t xml:space="preserve">     电话：</w:t>
      </w:r>
      <w:r>
        <w:rPr>
          <w:bCs/>
          <w:sz w:val="24"/>
          <w:u w:val="single"/>
        </w:rPr>
        <w:t>18505830822</w:t>
      </w:r>
      <w:r>
        <w:rPr>
          <w:rFonts w:hint="eastAsia"/>
          <w:bCs/>
          <w:sz w:val="24"/>
        </w:rPr>
        <w:t xml:space="preserve">          </w:t>
      </w:r>
    </w:p>
    <w:tbl>
      <w:tblPr>
        <w:tblStyle w:val="style105"/>
        <w:tblW w:w="140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4291"/>
        <w:gridCol w:w="2410"/>
        <w:gridCol w:w="2268"/>
        <w:gridCol w:w="2693"/>
        <w:gridCol w:w="2419"/>
      </w:tblGrid>
      <w:tr>
        <w:trPr>
          <w:trHeight w:val="600" w:hRule="atLeast"/>
        </w:trPr>
        <w:tc>
          <w:tcPr>
            <w:tcW w:w="4291" w:type="dxa"/>
            <w:vMerge w:val="restart"/>
            <w:tcBorders/>
            <w:vAlign w:val="center"/>
          </w:tcPr>
          <w:p>
            <w:pPr>
              <w:pStyle w:val="style0"/>
              <w:spacing w:lineRule="exact" w:line="600"/>
              <w:rPr>
                <w:bCs/>
                <w:sz w:val="24"/>
              </w:rPr>
            </w:pPr>
            <w:r>
              <w:rPr>
                <w:rFonts w:hint="eastAsia"/>
                <w:bCs/>
                <w:sz w:val="24"/>
              </w:rPr>
              <w:t>报名单位</w:t>
            </w:r>
          </w:p>
        </w:tc>
        <w:tc>
          <w:tcPr>
            <w:tcW w:w="2410" w:type="dxa"/>
            <w:vMerge w:val="restart"/>
            <w:tcBorders/>
            <w:vAlign w:val="center"/>
          </w:tcPr>
          <w:p>
            <w:pPr>
              <w:pStyle w:val="style0"/>
              <w:spacing w:lineRule="exact" w:line="600"/>
              <w:rPr>
                <w:bCs/>
                <w:sz w:val="24"/>
              </w:rPr>
            </w:pPr>
            <w:r>
              <w:rPr>
                <w:rFonts w:hint="eastAsia"/>
                <w:bCs/>
                <w:sz w:val="24"/>
              </w:rPr>
              <w:t>资质等级</w:t>
            </w:r>
          </w:p>
        </w:tc>
        <w:tc>
          <w:tcPr>
            <w:tcW w:w="2268" w:type="dxa"/>
            <w:vMerge w:val="restart"/>
            <w:tcBorders/>
            <w:vAlign w:val="center"/>
          </w:tcPr>
          <w:p>
            <w:pPr>
              <w:pStyle w:val="style0"/>
              <w:spacing w:lineRule="exact" w:line="600"/>
              <w:rPr>
                <w:bCs/>
                <w:sz w:val="24"/>
              </w:rPr>
            </w:pPr>
            <w:r>
              <w:rPr>
                <w:rFonts w:hint="eastAsia"/>
                <w:bCs/>
                <w:sz w:val="24"/>
              </w:rPr>
              <w:t>联系人</w:t>
            </w:r>
          </w:p>
        </w:tc>
        <w:tc>
          <w:tcPr>
            <w:tcW w:w="2693" w:type="dxa"/>
            <w:vMerge w:val="restart"/>
            <w:tcBorders/>
            <w:vAlign w:val="center"/>
          </w:tcPr>
          <w:p>
            <w:pPr>
              <w:pStyle w:val="style0"/>
              <w:spacing w:lineRule="exact" w:line="600"/>
              <w:rPr>
                <w:bCs/>
                <w:sz w:val="24"/>
              </w:rPr>
            </w:pPr>
            <w:r>
              <w:rPr>
                <w:rFonts w:hint="eastAsia"/>
                <w:bCs/>
                <w:sz w:val="24"/>
              </w:rPr>
              <w:t>电话</w:t>
            </w:r>
          </w:p>
        </w:tc>
        <w:tc>
          <w:tcPr>
            <w:tcW w:w="2419" w:type="dxa"/>
            <w:vMerge w:val="restart"/>
            <w:tcBorders/>
            <w:vAlign w:val="center"/>
          </w:tcPr>
          <w:p>
            <w:pPr>
              <w:pStyle w:val="style0"/>
              <w:spacing w:lineRule="exact" w:line="600"/>
              <w:rPr>
                <w:bCs/>
                <w:sz w:val="24"/>
              </w:rPr>
            </w:pPr>
            <w:r>
              <w:rPr>
                <w:rFonts w:hint="eastAsia"/>
                <w:bCs/>
                <w:sz w:val="24"/>
              </w:rPr>
              <w:t>邮箱</w:t>
            </w:r>
          </w:p>
        </w:tc>
      </w:tr>
      <w:tr>
        <w:tblPrEx/>
        <w:trPr>
          <w:trHeight w:val="699" w:hRule="atLeast"/>
        </w:trPr>
        <w:tc>
          <w:tcPr>
            <w:tcW w:w="4291" w:type="dxa"/>
            <w:vMerge w:val="continue"/>
            <w:tcBorders/>
            <w:vAlign w:val="center"/>
          </w:tcPr>
          <w:p>
            <w:pPr>
              <w:pStyle w:val="style0"/>
              <w:spacing w:lineRule="exact" w:line="600"/>
              <w:rPr>
                <w:bCs/>
                <w:sz w:val="24"/>
              </w:rPr>
            </w:pPr>
          </w:p>
        </w:tc>
        <w:tc>
          <w:tcPr>
            <w:tcW w:w="2410" w:type="dxa"/>
            <w:vMerge w:val="continue"/>
            <w:tcBorders/>
            <w:vAlign w:val="center"/>
          </w:tcPr>
          <w:p>
            <w:pPr>
              <w:pStyle w:val="style0"/>
              <w:spacing w:lineRule="exact" w:line="600"/>
              <w:rPr>
                <w:bCs/>
                <w:sz w:val="24"/>
              </w:rPr>
            </w:pPr>
          </w:p>
        </w:tc>
        <w:tc>
          <w:tcPr>
            <w:tcW w:w="2268" w:type="dxa"/>
            <w:vMerge w:val="continue"/>
            <w:tcBorders/>
            <w:vAlign w:val="center"/>
          </w:tcPr>
          <w:p>
            <w:pPr>
              <w:pStyle w:val="style0"/>
              <w:spacing w:lineRule="exact" w:line="600"/>
              <w:rPr>
                <w:bCs/>
                <w:sz w:val="24"/>
              </w:rPr>
            </w:pPr>
          </w:p>
        </w:tc>
        <w:tc>
          <w:tcPr>
            <w:tcW w:w="2693" w:type="dxa"/>
            <w:vMerge w:val="continue"/>
            <w:tcBorders/>
            <w:vAlign w:val="center"/>
          </w:tcPr>
          <w:p>
            <w:pPr>
              <w:pStyle w:val="style0"/>
              <w:spacing w:lineRule="exact" w:line="600"/>
              <w:rPr>
                <w:bCs/>
                <w:sz w:val="24"/>
              </w:rPr>
            </w:pPr>
          </w:p>
        </w:tc>
        <w:tc>
          <w:tcPr>
            <w:tcW w:w="2419" w:type="dxa"/>
            <w:vMerge w:val="continue"/>
            <w:tcBorders/>
            <w:vAlign w:val="center"/>
          </w:tcPr>
          <w:p>
            <w:pPr>
              <w:pStyle w:val="style0"/>
              <w:spacing w:lineRule="exact" w:line="600"/>
              <w:rPr>
                <w:bCs/>
                <w:sz w:val="24"/>
              </w:rPr>
            </w:pPr>
          </w:p>
        </w:tc>
      </w:tr>
      <w:tr>
        <w:tblPrEx/>
        <w:trPr>
          <w:trHeight w:val="1257" w:hRule="atLeast"/>
        </w:trPr>
        <w:tc>
          <w:tcPr>
            <w:tcW w:w="4291" w:type="dxa"/>
            <w:tcBorders/>
            <w:vAlign w:val="center"/>
          </w:tcPr>
          <w:p>
            <w:pPr>
              <w:pStyle w:val="style0"/>
              <w:spacing w:lineRule="exact" w:line="600"/>
              <w:rPr>
                <w:bCs/>
                <w:sz w:val="24"/>
              </w:rPr>
            </w:pPr>
          </w:p>
        </w:tc>
        <w:tc>
          <w:tcPr>
            <w:tcW w:w="2410" w:type="dxa"/>
            <w:tcBorders/>
            <w:vAlign w:val="center"/>
          </w:tcPr>
          <w:p>
            <w:pPr>
              <w:pStyle w:val="style0"/>
              <w:spacing w:lineRule="exact" w:line="600"/>
              <w:rPr>
                <w:bCs/>
                <w:sz w:val="24"/>
              </w:rPr>
            </w:pPr>
          </w:p>
        </w:tc>
        <w:tc>
          <w:tcPr>
            <w:tcW w:w="2268" w:type="dxa"/>
            <w:tcBorders/>
            <w:vAlign w:val="center"/>
          </w:tcPr>
          <w:p>
            <w:pPr>
              <w:pStyle w:val="style0"/>
              <w:spacing w:lineRule="exact" w:line="600"/>
              <w:rPr>
                <w:bCs/>
                <w:sz w:val="24"/>
              </w:rPr>
            </w:pPr>
          </w:p>
        </w:tc>
        <w:tc>
          <w:tcPr>
            <w:tcW w:w="2693" w:type="dxa"/>
            <w:tcBorders/>
            <w:vAlign w:val="center"/>
          </w:tcPr>
          <w:p>
            <w:pPr>
              <w:pStyle w:val="style0"/>
              <w:spacing w:lineRule="exact" w:line="600"/>
              <w:rPr>
                <w:bCs/>
                <w:sz w:val="24"/>
              </w:rPr>
            </w:pPr>
          </w:p>
        </w:tc>
        <w:tc>
          <w:tcPr>
            <w:tcW w:w="2419" w:type="dxa"/>
            <w:tcBorders/>
            <w:vAlign w:val="center"/>
          </w:tcPr>
          <w:p>
            <w:pPr>
              <w:pStyle w:val="style0"/>
              <w:spacing w:lineRule="exact" w:line="600"/>
              <w:rPr>
                <w:bCs/>
                <w:sz w:val="24"/>
              </w:rPr>
            </w:pPr>
          </w:p>
        </w:tc>
      </w:tr>
    </w:tbl>
    <w:p>
      <w:pPr>
        <w:pStyle w:val="style0"/>
        <w:spacing w:lineRule="exact" w:line="600"/>
        <w:rPr>
          <w:bCs/>
          <w:sz w:val="24"/>
        </w:rPr>
      </w:pPr>
      <w:r>
        <w:rPr>
          <w:rFonts w:hint="eastAsia"/>
          <w:bCs/>
          <w:sz w:val="24"/>
        </w:rPr>
        <w:t xml:space="preserve"> </w:t>
      </w:r>
    </w:p>
    <w:p>
      <w:pPr>
        <w:pStyle w:val="style0"/>
        <w:spacing w:lineRule="auto" w:line="360"/>
        <w:ind w:firstLine="10204" w:firstLineChars="4252"/>
        <w:rPr>
          <w:bCs/>
          <w:sz w:val="24"/>
        </w:rPr>
      </w:pPr>
      <w:r>
        <w:rPr>
          <w:rFonts w:hint="eastAsia"/>
          <w:bCs/>
          <w:sz w:val="24"/>
        </w:rPr>
        <w:t>报名单位名称（盖章）：</w:t>
      </w:r>
    </w:p>
    <w:p>
      <w:pPr>
        <w:pStyle w:val="style0"/>
        <w:spacing w:lineRule="auto" w:line="360"/>
        <w:ind w:firstLine="11404" w:firstLineChars="4752"/>
        <w:rPr>
          <w:rFonts w:hint="eastAsia"/>
          <w:bCs/>
          <w:sz w:val="24"/>
        </w:rPr>
      </w:pPr>
      <w:r>
        <w:rPr>
          <w:rFonts w:hint="eastAsia"/>
          <w:bCs/>
          <w:sz w:val="24"/>
        </w:rPr>
        <w:t xml:space="preserve">年 </w:t>
      </w:r>
      <w:r>
        <w:rPr>
          <w:bCs/>
          <w:sz w:val="24"/>
        </w:rPr>
        <w:t xml:space="preserve"> </w:t>
      </w:r>
      <w:r>
        <w:rPr>
          <w:rFonts w:hint="eastAsia"/>
          <w:bCs/>
          <w:sz w:val="24"/>
        </w:rPr>
        <w:t xml:space="preserve">月 </w:t>
      </w:r>
      <w:r>
        <w:rPr>
          <w:bCs/>
          <w:sz w:val="24"/>
        </w:rPr>
        <w:t xml:space="preserve">  </w:t>
      </w:r>
      <w:r>
        <w:rPr>
          <w:rFonts w:hint="eastAsia"/>
          <w:bCs/>
          <w:sz w:val="24"/>
        </w:rPr>
        <w:t>日</w:t>
      </w:r>
    </w:p>
    <w:sectPr>
      <w:pgSz w:w="16838" w:h="11906" w:orient="landscape"/>
      <w:pgMar w:top="1797" w:right="1440" w:bottom="1797" w:left="1440" w:header="851" w:footer="99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004020304"/>
    <w:charset w:val="00"/>
    <w:family w:val="roman"/>
    <w:pitch w:val="variable"/>
    <w:sig w:usb0="20007A87" w:usb1="80000000" w:usb2="00000008" w:usb3="00000000" w:csb0="000001FF" w:csb1="00000000"/>
  </w:font>
  <w:font w:name="宋体">
    <w:altName w:val="宋体"/>
    <w:panose1 w:val="02010600030001010101"/>
    <w:charset w:val="86"/>
    <w:family w:val="auto"/>
    <w:pitch w:val="default"/>
    <w:sig w:usb0="00000003" w:usb1="288F0000" w:usb2="00000006" w:usb3="00000000" w:csb0="00040001" w:csb1="00000000"/>
  </w:font>
  <w:font w:name="Wingdings">
    <w:altName w:val="Wingdings"/>
    <w:panose1 w:val="05000000000000000000"/>
    <w:charset w:val="02"/>
    <w:family w:val="auto"/>
    <w:pitch w:val="default"/>
    <w:sig w:usb0="00000000" w:usb1="00000000" w:usb2="00000000" w:usb3="00000000" w:csb0="80000000" w:csb1="00000000"/>
  </w:font>
  <w:font w:name="Arial">
    <w:altName w:val="Arial"/>
    <w:panose1 w:val="020b0604020002020204"/>
    <w:charset w:val="01"/>
    <w:family w:val="swiss"/>
    <w:pitch w:val="default"/>
    <w:sig w:usb0="E0002EFF" w:usb1="C000785B" w:usb2="00000009" w:usb3="00000000" w:csb0="400001FF" w:csb1="FFFF0000"/>
  </w:font>
  <w:font w:name="黑体">
    <w:altName w:val="黑体"/>
    <w:panose1 w:val="02010609060001010101"/>
    <w:charset w:val="86"/>
    <w:family w:val="auto"/>
    <w:pitch w:val="default"/>
    <w:sig w:usb0="800002BF" w:usb1="38CF7CFA" w:usb2="00000016" w:usb3="00000000" w:csb0="00040001" w:csb1="00000000"/>
  </w:font>
  <w:font w:name="Courier New">
    <w:altName w:val="Courier New"/>
    <w:panose1 w:val="02070309020002020404"/>
    <w:charset w:val="01"/>
    <w:family w:val="modern"/>
    <w:pitch w:val="default"/>
    <w:sig w:usb0="E0002EFF" w:usb1="C0007843" w:usb2="00000009" w:usb3="00000000" w:csb0="400001FF" w:csb1="FFFF0000"/>
  </w:font>
  <w:font w:name="Symbol">
    <w:altName w:val="Symbol"/>
    <w:panose1 w:val="05050102010007020507"/>
    <w:charset w:val="02"/>
    <w:family w:val="roman"/>
    <w:pitch w:val="default"/>
    <w:sig w:usb0="00000000" w:usb1="00000000" w:usb2="00000000" w:usb3="00000000" w:csb0="80000000" w:csb1="00000000"/>
  </w:font>
  <w:font w:name="Calibri">
    <w:altName w:val="Calibri"/>
    <w:panose1 w:val="020f0502020002030204"/>
    <w:charset w:val="00"/>
    <w:family w:val="swiss"/>
    <w:pitch w:val="default"/>
    <w:sig w:usb0="E4002EFF" w:usb1="C000247B" w:usb2="00000009" w:usb3="00000000" w:csb0="200001FF" w:csb1="00000000"/>
  </w:font>
  <w:font w:name="Microsoft YaHei UI">
    <w:altName w:val="Microsoft YaHei UI"/>
    <w:panose1 w:val="020b0503020002020204"/>
    <w:charset w:val="86"/>
    <w:family w:val="swiss"/>
    <w:pitch w:val="default"/>
    <w:sig w:usb0="80000287" w:usb1="2ACF3C50" w:usb2="00000016" w:usb3="00000000" w:csb0="0004001F" w:csb1="00000000"/>
  </w:font>
  <w:font w:name="sans-serif">
    <w:altName w:val="Segoe Print"/>
    <w:panose1 w:val="00000000000000000000"/>
    <w:charset w:val="00"/>
    <w:family w:val="auto"/>
    <w:pitch w:val="default"/>
    <w:sig w:usb0="00000000" w:usb1="00000000" w:usb2="00000000" w:usb3="00000000" w:csb0="00040001" w:csb1="00000000"/>
  </w:font>
  <w:font w:name="Segoe Print">
    <w:altName w:val="Segoe Print"/>
    <w:panose1 w:val="02000600000000000000"/>
    <w:charset w:val="00"/>
    <w:family w:val="auto"/>
    <w:pitch w:val="default"/>
    <w:sig w:usb0="0000028F" w:usb1="00000000" w:usb2="00000000" w:usb3="00000000" w:csb0="2000009F" w:csb1="47010000"/>
  </w:font>
</w:fonts>
</file>

<file path=word/footer1.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pPr>
      <w:pStyle w:val="style32"/>
      <w:rPr/>
    </w:pPr>
    <w:r>
      <w:rPr>
        <w:sz w:val="18"/>
      </w:rPr>
      <mc:AlternateContent>
        <mc:Choice Requires="wps">
          <w:drawing>
            <wp:anchor distT="0" distB="0" distL="0" distR="0" simplePos="false" relativeHeight="2" behindDoc="false" locked="false" layoutInCell="true" allowOverlap="true">
              <wp:simplePos x="0" y="0"/>
              <wp:positionH relativeFrom="margin">
                <wp:align>right</wp:align>
              </wp:positionH>
              <wp:positionV relativeFrom="paragraph">
                <wp:posOffset>0</wp:posOffset>
              </wp:positionV>
              <wp:extent cx="1828800" cy="1828800"/>
              <wp:effectExtent l="0" t="0" r="0" b="0"/>
              <wp:wrapNone/>
              <wp:docPr id="4097" name="文本框 2"/>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1828800"/>
                      </a:xfrm>
                      <a:prstGeom prst="rect"/>
                      <a:ln>
                        <a:noFill/>
                      </a:ln>
                    </wps:spPr>
                    <wps:txbx id="4097">
                      <w:txbxContent>
                        <w:p>
                          <w:pPr>
                            <w:pStyle w:val="style32"/>
                            <w:rPr/>
                          </w:pPr>
                          <w:r>
                            <w:rPr/>
                            <w:fldChar w:fldCharType="begin"/>
                          </w:r>
                          <w:r>
                            <w:instrText xml:space="preserve"> PAGE  \* MERGEFORMAT </w:instrText>
                          </w:r>
                          <w:r>
                            <w:rPr/>
                            <w:fldChar w:fldCharType="separate"/>
                          </w:r>
                          <w:r>
                            <w:t>1</w:t>
                          </w:r>
                          <w:r>
                            <w:rPr/>
                            <w:fldChar w:fldCharType="end"/>
                          </w:r>
                        </w:p>
                      </w:txbxContent>
                    </wps:txbx>
                    <wps:bodyPr lIns="0" rIns="0" tIns="0" bIns="0" vert="horz" anchor="t" wrap="none" upright="false">
                      <a:prstTxWarp prst="textNoShape"/>
                      <a:spAutoFit/>
                    </wps:bodyPr>
                  </wps:wsp>
                </a:graphicData>
              </a:graphic>
            </wp:anchor>
          </w:drawing>
        </mc:Choice>
        <mc:Fallback>
          <w:pict>
            <v:rect id="4097" filled="f" stroked="f" style="position:absolute;margin-left:0.0pt;margin-top:0.0pt;width:144.0pt;height:144.0pt;z-index:2;mso-position-horizontal:right;mso-position-horizontal-relative:margin;mso-position-vertical-relative:text;mso-width-relative:page;mso-height-relative:page;mso-wrap-distance-left:0.0pt;mso-wrap-distance-right:0.0pt;visibility:visible;mso-wrap-style:none;">
              <v:stroke on="f" weight="0.5pt"/>
              <v:fill/>
              <v:textbox inset="0.0pt,0.0pt,0.0pt,0.0pt" style="mso-fit-shape-to-text:true;">
                <w:txbxContent>
                  <w:p>
                    <w:pPr>
                      <w:pStyle w:val="style32"/>
                      <w:rPr/>
                    </w:pPr>
                    <w:r>
                      <w:rPr/>
                      <w:fldChar w:fldCharType="begin"/>
                    </w:r>
                    <w:r>
                      <w:instrText xml:space="preserve"> PAGE  \* MERGEFORMAT </w:instrText>
                    </w:r>
                    <w:r>
                      <w:rPr/>
                      <w:fldChar w:fldCharType="separate"/>
                    </w:r>
                    <w:r>
                      <w:t>1</w:t>
                    </w:r>
                    <w:r>
                      <w:rPr/>
                      <w:fldChar w:fldCharType="end"/>
                    </w:r>
                  </w:p>
                </w:txbxContent>
              </v:textbox>
            </v:rect>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singleLevel"/>
    <w:tmpl w:val="CF3C62C9"/>
    <w:lvl w:ilvl="0">
      <w:start w:val="1"/>
      <w:numFmt w:val="chineseCounting"/>
      <w:suff w:val="nothing"/>
      <w:lvlText w:val="%1、"/>
      <w:lvlJc w:val="left"/>
      <w:pPr/>
      <w:rPr>
        <w:rFonts w:hint="eastAsia"/>
      </w:rPr>
    </w:lvl>
  </w:abstractNum>
  <w:abstractNum w:abstractNumId="1">
    <w:nsid w:val="00000001"/>
    <w:multiLevelType w:val="singleLevel"/>
    <w:tmpl w:val="E5F2CF35"/>
    <w:lvl w:ilvl="0">
      <w:start w:val="2"/>
      <w:numFmt w:val="chineseCounting"/>
      <w:suff w:val="nothing"/>
      <w:lvlText w:val="（%1）"/>
      <w:lvlJc w:val="left"/>
      <w:pPr/>
      <w:rPr>
        <w:rFonts w:hint="eastAsia"/>
      </w:rPr>
    </w:lvl>
  </w:abstractNum>
  <w:num w:numId="1">
    <w:abstractNumId w:val="0"/>
  </w:num>
  <w:num w:numId="2">
    <w:abstractNumId w:val="1"/>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00"/>
  <w:bordersDoNotSurroundHeader/>
  <w:bordersDoNotSurroundFooter/>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Times New Roman" w:cs="Times New Roman" w:eastAsia="宋体" w:hAnsi="Times New Roman"/>
      </w:rPr>
    </w:rPrDefault>
    <w:pPrDefault>
      <w:pPr/>
    </w:pPrDefault>
  </w:docDefaults>
  <w:style w:type="paragraph" w:default="1" w:styleId="style0">
    <w:name w:val="Normal"/>
    <w:next w:val="style179"/>
    <w:qFormat/>
    <w:uiPriority w:val="0"/>
    <w:pPr>
      <w:widowControl w:val="false"/>
      <w:jc w:val="both"/>
    </w:pPr>
    <w:rPr>
      <w:rFonts w:ascii="Times New Roman" w:cs="Times New Roman" w:eastAsia="宋体" w:hAnsi="Times New Roman"/>
      <w:kern w:val="2"/>
      <w:sz w:val="21"/>
      <w:szCs w:val="24"/>
      <w:lang w:val="en-US" w:bidi="ar-SA" w:eastAsia="zh-CN"/>
    </w:rPr>
  </w:style>
  <w:style w:type="character" w:default="1" w:styleId="style65">
    <w:name w:val="Default Paragraph Font"/>
    <w:next w:val="style65"/>
    <w:uiPriority w:val="1"/>
  </w:style>
  <w:style w:type="table" w:default="1" w:styleId="style105">
    <w:name w:val="Normal Table"/>
    <w:next w:val="style105"/>
    <w:qFormat/>
    <w:uiPriority w:val="99"/>
    <w:pPr/>
    <w:rPr/>
    <w:tblPr>
      <w:tblCellMar>
        <w:top w:w="0" w:type="dxa"/>
        <w:left w:w="108" w:type="dxa"/>
        <w:bottom w:w="0" w:type="dxa"/>
        <w:right w:w="108" w:type="dxa"/>
      </w:tblCellMar>
    </w:tblPr>
    <w:tcPr>
      <w:tcBorders/>
    </w:tcPr>
  </w:style>
  <w:style w:type="paragraph" w:styleId="style179">
    <w:name w:val="List Paragraph"/>
    <w:basedOn w:val="style0"/>
    <w:next w:val="style179"/>
    <w:qFormat/>
    <w:uiPriority w:val="99"/>
    <w:pPr>
      <w:ind w:firstLine="420" w:firstLineChars="200"/>
    </w:pPr>
    <w:rPr/>
  </w:style>
  <w:style w:type="paragraph" w:styleId="style89">
    <w:name w:val="Document Map"/>
    <w:basedOn w:val="style0"/>
    <w:next w:val="style89"/>
    <w:link w:val="style4098"/>
    <w:qFormat/>
    <w:uiPriority w:val="0"/>
    <w:pPr/>
    <w:rPr>
      <w:rFonts w:ascii="Microsoft YaHei UI" w:eastAsia="Microsoft YaHei UI"/>
      <w:sz w:val="18"/>
      <w:szCs w:val="18"/>
    </w:rPr>
  </w:style>
  <w:style w:type="paragraph" w:styleId="style67">
    <w:name w:val="Body Text Indent"/>
    <w:basedOn w:val="style0"/>
    <w:next w:val="style67"/>
    <w:uiPriority w:val="0"/>
    <w:pPr>
      <w:spacing w:lineRule="exact" w:line="500"/>
      <w:ind w:firstLine="539"/>
    </w:pPr>
    <w:rPr>
      <w:szCs w:val="21"/>
    </w:rPr>
  </w:style>
  <w:style w:type="paragraph" w:styleId="style32">
    <w:name w:val="footer"/>
    <w:basedOn w:val="style0"/>
    <w:next w:val="style32"/>
    <w:qFormat/>
    <w:uiPriority w:val="0"/>
    <w:pPr>
      <w:tabs>
        <w:tab w:val="center" w:leader="none" w:pos="4153"/>
        <w:tab w:val="right" w:leader="none" w:pos="8306"/>
      </w:tabs>
      <w:snapToGrid w:val="false"/>
      <w:jc w:val="left"/>
    </w:pPr>
    <w:rPr>
      <w:sz w:val="18"/>
    </w:rPr>
  </w:style>
  <w:style w:type="paragraph" w:styleId="style31">
    <w:name w:val="header"/>
    <w:basedOn w:val="style0"/>
    <w:next w:val="style31"/>
    <w:uiPriority w:val="0"/>
    <w:pPr>
      <w:pBdr>
        <w:left w:val="none" w:sz="0" w:space="4" w:color="auto"/>
        <w:right w:val="none" w:sz="0" w:space="4" w:color="auto"/>
        <w:top w:val="none" w:sz="0" w:space="1" w:color="auto"/>
        <w:bottom w:val="none" w:sz="0" w:space="1" w:color="auto"/>
      </w:pBdr>
      <w:tabs>
        <w:tab w:val="center" w:leader="none" w:pos="4153"/>
        <w:tab w:val="right" w:leader="none" w:pos="8306"/>
      </w:tabs>
      <w:snapToGrid w:val="false"/>
    </w:pPr>
    <w:rPr>
      <w:sz w:val="18"/>
    </w:rPr>
  </w:style>
  <w:style w:type="paragraph" w:styleId="style94">
    <w:name w:val="Normal (Web)"/>
    <w:basedOn w:val="style0"/>
    <w:next w:val="style94"/>
    <w:uiPriority w:val="0"/>
    <w:pPr>
      <w:spacing w:before="100" w:beforeAutospacing="true" w:after="100" w:afterAutospacing="true"/>
      <w:jc w:val="left"/>
    </w:pPr>
    <w:rPr>
      <w:kern w:val="0"/>
      <w:sz w:val="24"/>
    </w:rPr>
  </w:style>
  <w:style w:type="character" w:styleId="style85">
    <w:name w:val="Hyperlink"/>
    <w:basedOn w:val="style65"/>
    <w:next w:val="style85"/>
    <w:uiPriority w:val="0"/>
    <w:rPr>
      <w:color w:val="0000ff"/>
      <w:u w:val="single"/>
    </w:rPr>
  </w:style>
  <w:style w:type="paragraph" w:customStyle="1" w:styleId="style4097">
    <w:name w:val="Char1"/>
    <w:basedOn w:val="style89"/>
    <w:next w:val="style4097"/>
    <w:uiPriority w:val="0"/>
    <w:pPr>
      <w:shd w:val="clear" w:color="auto" w:fill="000080"/>
      <w:adjustRightInd w:val="false"/>
      <w:spacing w:lineRule="exact" w:line="436"/>
      <w:ind w:left="357"/>
      <w:jc w:val="left"/>
      <w:outlineLvl w:val="3"/>
    </w:pPr>
    <w:rPr>
      <w:rFonts w:ascii="Times New Roman" w:eastAsia="宋体"/>
      <w:sz w:val="21"/>
      <w:szCs w:val="24"/>
    </w:rPr>
  </w:style>
  <w:style w:type="character" w:customStyle="1" w:styleId="style4098">
    <w:name w:val="文档结构图 字符"/>
    <w:basedOn w:val="style65"/>
    <w:next w:val="style4098"/>
    <w:link w:val="style89"/>
    <w:qFormat/>
    <w:uiPriority w:val="0"/>
    <w:rPr>
      <w:rFonts w:ascii="Microsoft YaHei UI" w:eastAsia="Microsoft YaHei UI"/>
      <w:kern w:val="2"/>
      <w:sz w:val="18"/>
      <w:szCs w:val="18"/>
    </w:rPr>
  </w:style>
</w:styles>
</file>

<file path=word/_rels/document.xml.rels><?xml version="1.0" encoding="UTF-8"?>
<Relationships xmlns="http://schemas.openxmlformats.org/package/2006/relationships"><Relationship Id="rId1" Type="http://schemas.openxmlformats.org/officeDocument/2006/relationships/numbering" Target="numbering.xml"/><Relationship Id="rId2" Type="http://schemas.openxmlformats.org/officeDocument/2006/relationships/image" Target="media/image1.png"/><Relationship Id="rId3" Type="http://schemas.openxmlformats.org/officeDocument/2006/relationships/footer" Target="footer1.xml"/><Relationship Id="rId4" Type="http://schemas.openxmlformats.org/officeDocument/2006/relationships/styles" Target="styles.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Words>1846</Words>
  <Pages>6</Pages>
  <Characters>2017</Characters>
  <Application>WPS Office</Application>
  <DocSecurity>0</DocSecurity>
  <Paragraphs>97</Paragraphs>
  <ScaleCrop>false</ScaleCrop>
  <Company>Windows 10</Company>
  <LinksUpToDate>false</LinksUpToDate>
  <CharactersWithSpaces>2088</CharactersWithSpaces>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2023-04-12T12:25:00Z</dcterms:created>
  <dc:creator>37527</dc:creator>
  <lastModifiedBy>CET-AL00</lastModifiedBy>
  <lastPrinted>2023-04-12T12:40:00Z</lastPrinted>
  <dcterms:modified xsi:type="dcterms:W3CDTF">2023-04-12T13:11:49Z</dcterms:modified>
  <revision>7</revision>
</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06D846B6A179469292ACF2761160D99D</vt:lpwstr>
  </property>
</Properties>
</file>