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widowControl/>
        <w:spacing w:before="0" w:beforeAutospacing="0" w:after="0" w:afterAutospacing="0" w:line="480" w:lineRule="auto"/>
        <w:jc w:val="center"/>
        <w:rPr>
          <w:rFonts w:asciiTheme="majorEastAsia" w:hAnsiTheme="majorEastAsia" w:eastAsiaTheme="majorEastAsia" w:cstheme="majorEastAsia"/>
          <w:b/>
          <w:color w:val="auto"/>
          <w:sz w:val="40"/>
          <w:szCs w:val="40"/>
          <w:highlight w:val="none"/>
        </w:rPr>
      </w:pPr>
      <w:bookmarkStart w:id="0" w:name="_GoBack"/>
      <w:bookmarkEnd w:id="0"/>
    </w:p>
    <w:p>
      <w:pPr>
        <w:pStyle w:val="8"/>
        <w:widowControl/>
        <w:spacing w:before="0" w:beforeAutospacing="0" w:after="0" w:afterAutospacing="0" w:line="480" w:lineRule="auto"/>
        <w:jc w:val="center"/>
        <w:rPr>
          <w:rFonts w:asciiTheme="majorEastAsia" w:hAnsiTheme="majorEastAsia" w:eastAsiaTheme="majorEastAsia" w:cstheme="majorEastAsia"/>
          <w:b/>
          <w:color w:val="auto"/>
          <w:sz w:val="40"/>
          <w:szCs w:val="40"/>
          <w:highlight w:val="none"/>
        </w:rPr>
      </w:pPr>
    </w:p>
    <w:p>
      <w:pPr>
        <w:pStyle w:val="8"/>
        <w:widowControl/>
        <w:spacing w:before="0" w:beforeAutospacing="0" w:after="0" w:afterAutospacing="0" w:line="480" w:lineRule="auto"/>
        <w:jc w:val="center"/>
        <w:rPr>
          <w:rFonts w:asciiTheme="majorEastAsia" w:hAnsiTheme="majorEastAsia" w:eastAsiaTheme="majorEastAsia" w:cstheme="majorEastAsia"/>
          <w:b/>
          <w:color w:val="auto"/>
          <w:sz w:val="40"/>
          <w:szCs w:val="40"/>
          <w:highlight w:val="none"/>
        </w:rPr>
      </w:pPr>
    </w:p>
    <w:p>
      <w:pPr>
        <w:pStyle w:val="8"/>
        <w:widowControl/>
        <w:spacing w:before="0" w:beforeAutospacing="0" w:after="0" w:afterAutospacing="0" w:line="480" w:lineRule="auto"/>
        <w:jc w:val="center"/>
        <w:rPr>
          <w:rFonts w:asciiTheme="majorEastAsia" w:hAnsiTheme="majorEastAsia" w:eastAsiaTheme="majorEastAsia" w:cstheme="majorEastAsia"/>
          <w:b/>
          <w:color w:val="auto"/>
          <w:sz w:val="40"/>
          <w:szCs w:val="40"/>
          <w:highlight w:val="none"/>
        </w:rPr>
      </w:pPr>
    </w:p>
    <w:p>
      <w:pPr>
        <w:pStyle w:val="8"/>
        <w:widowControl/>
        <w:spacing w:before="0" w:beforeAutospacing="0" w:after="0" w:afterAutospacing="0" w:line="480" w:lineRule="auto"/>
        <w:jc w:val="center"/>
        <w:rPr>
          <w:rFonts w:asciiTheme="majorEastAsia" w:hAnsiTheme="majorEastAsia" w:eastAsiaTheme="majorEastAsia" w:cstheme="majorEastAsia"/>
          <w:b/>
          <w:color w:val="auto"/>
          <w:sz w:val="40"/>
          <w:szCs w:val="40"/>
          <w:highlight w:val="none"/>
        </w:rPr>
      </w:pPr>
    </w:p>
    <w:p>
      <w:pPr>
        <w:pStyle w:val="8"/>
        <w:widowControl/>
        <w:spacing w:before="0" w:beforeAutospacing="0" w:after="0" w:afterAutospacing="0" w:line="480" w:lineRule="auto"/>
        <w:jc w:val="center"/>
        <w:rPr>
          <w:rFonts w:asciiTheme="majorEastAsia" w:hAnsiTheme="majorEastAsia" w:eastAsiaTheme="majorEastAsia" w:cstheme="majorEastAsia"/>
          <w:b/>
          <w:color w:val="auto"/>
          <w:sz w:val="40"/>
          <w:szCs w:val="40"/>
          <w:highlight w:val="none"/>
        </w:rPr>
      </w:pPr>
      <w:r>
        <w:rPr>
          <w:rFonts w:hint="eastAsia" w:asciiTheme="majorEastAsia" w:hAnsiTheme="majorEastAsia" w:eastAsiaTheme="majorEastAsia" w:cstheme="majorEastAsia"/>
          <w:b/>
          <w:color w:val="auto"/>
          <w:sz w:val="40"/>
          <w:szCs w:val="40"/>
          <w:highlight w:val="none"/>
        </w:rPr>
        <w:t>宁波东方理工大学(暂名)校园建设项目</w:t>
      </w:r>
    </w:p>
    <w:p>
      <w:pPr>
        <w:jc w:val="center"/>
        <w:rPr>
          <w:rFonts w:asciiTheme="majorEastAsia" w:hAnsiTheme="majorEastAsia" w:eastAsiaTheme="majorEastAsia" w:cstheme="majorEastAsia"/>
          <w:b/>
          <w:color w:val="auto"/>
          <w:kern w:val="0"/>
          <w:sz w:val="40"/>
          <w:szCs w:val="40"/>
          <w:highlight w:val="none"/>
        </w:rPr>
      </w:pPr>
      <w:r>
        <w:rPr>
          <w:rFonts w:hint="eastAsia" w:asciiTheme="majorEastAsia" w:hAnsiTheme="majorEastAsia" w:eastAsiaTheme="majorEastAsia" w:cstheme="majorEastAsia"/>
          <w:b/>
          <w:color w:val="auto"/>
          <w:kern w:val="0"/>
          <w:sz w:val="40"/>
          <w:szCs w:val="40"/>
          <w:highlight w:val="none"/>
        </w:rPr>
        <w:t>永久校区1、2号地块电梯</w:t>
      </w:r>
      <w:r>
        <w:rPr>
          <w:rFonts w:hint="eastAsia" w:asciiTheme="majorEastAsia" w:hAnsiTheme="majorEastAsia" w:eastAsiaTheme="majorEastAsia" w:cstheme="majorEastAsia"/>
          <w:b/>
          <w:color w:val="auto"/>
          <w:kern w:val="0"/>
          <w:sz w:val="40"/>
          <w:szCs w:val="40"/>
          <w:highlight w:val="none"/>
          <w:lang w:val="en-US" w:eastAsia="zh-CN"/>
        </w:rPr>
        <w:t>采购</w:t>
      </w:r>
      <w:r>
        <w:rPr>
          <w:rFonts w:hint="eastAsia" w:asciiTheme="majorEastAsia" w:hAnsiTheme="majorEastAsia" w:eastAsiaTheme="majorEastAsia" w:cstheme="majorEastAsia"/>
          <w:b/>
          <w:color w:val="auto"/>
          <w:kern w:val="0"/>
          <w:sz w:val="40"/>
          <w:szCs w:val="40"/>
          <w:highlight w:val="none"/>
        </w:rPr>
        <w:t>及安装工程</w:t>
      </w:r>
    </w:p>
    <w:p>
      <w:pPr>
        <w:pStyle w:val="8"/>
        <w:widowControl/>
        <w:spacing w:before="0" w:beforeAutospacing="0" w:after="0" w:afterAutospacing="0" w:line="480" w:lineRule="auto"/>
        <w:jc w:val="center"/>
        <w:rPr>
          <w:rFonts w:asciiTheme="majorEastAsia" w:hAnsiTheme="majorEastAsia" w:eastAsiaTheme="majorEastAsia" w:cstheme="majorEastAsia"/>
          <w:b/>
          <w:color w:val="auto"/>
          <w:sz w:val="44"/>
          <w:szCs w:val="44"/>
          <w:highlight w:val="none"/>
        </w:rPr>
      </w:pPr>
      <w:r>
        <w:rPr>
          <w:rFonts w:hint="eastAsia" w:asciiTheme="majorEastAsia" w:hAnsiTheme="majorEastAsia" w:eastAsiaTheme="majorEastAsia" w:cstheme="majorEastAsia"/>
          <w:b/>
          <w:color w:val="auto"/>
          <w:sz w:val="44"/>
          <w:szCs w:val="44"/>
          <w:highlight w:val="none"/>
        </w:rPr>
        <w:t>报名公告</w:t>
      </w:r>
    </w:p>
    <w:p>
      <w:pPr>
        <w:pStyle w:val="2"/>
        <w:rPr>
          <w:b/>
          <w:color w:val="auto"/>
          <w:sz w:val="48"/>
          <w:szCs w:val="15"/>
          <w:highlight w:val="none"/>
        </w:rPr>
      </w:pPr>
    </w:p>
    <w:p>
      <w:pPr>
        <w:pStyle w:val="2"/>
        <w:rPr>
          <w:b/>
          <w:color w:val="auto"/>
          <w:sz w:val="48"/>
          <w:szCs w:val="15"/>
          <w:highlight w:val="none"/>
        </w:rPr>
      </w:pPr>
    </w:p>
    <w:p>
      <w:pPr>
        <w:pStyle w:val="2"/>
        <w:jc w:val="distribute"/>
        <w:rPr>
          <w:b/>
          <w:color w:val="auto"/>
          <w:sz w:val="48"/>
          <w:szCs w:val="15"/>
          <w:highlight w:val="none"/>
        </w:rPr>
      </w:pPr>
    </w:p>
    <w:p>
      <w:pPr>
        <w:pStyle w:val="2"/>
        <w:rPr>
          <w:b/>
          <w:color w:val="auto"/>
          <w:sz w:val="48"/>
          <w:szCs w:val="15"/>
          <w:highlight w:val="none"/>
        </w:rPr>
      </w:pPr>
    </w:p>
    <w:p>
      <w:pPr>
        <w:pStyle w:val="2"/>
        <w:rPr>
          <w:b/>
          <w:color w:val="auto"/>
          <w:sz w:val="48"/>
          <w:szCs w:val="15"/>
          <w:highlight w:val="none"/>
        </w:rPr>
      </w:pPr>
    </w:p>
    <w:p>
      <w:pPr>
        <w:pStyle w:val="2"/>
        <w:rPr>
          <w:b/>
          <w:color w:val="auto"/>
          <w:sz w:val="48"/>
          <w:szCs w:val="15"/>
          <w:highlight w:val="none"/>
        </w:rPr>
      </w:pPr>
    </w:p>
    <w:p>
      <w:pPr>
        <w:pStyle w:val="2"/>
        <w:rPr>
          <w:b/>
          <w:color w:val="auto"/>
          <w:sz w:val="48"/>
          <w:szCs w:val="15"/>
          <w:highlight w:val="none"/>
        </w:rPr>
      </w:pPr>
    </w:p>
    <w:p>
      <w:pPr>
        <w:pStyle w:val="2"/>
        <w:rPr>
          <w:b/>
          <w:color w:val="auto"/>
          <w:sz w:val="48"/>
          <w:szCs w:val="15"/>
          <w:highlight w:val="none"/>
        </w:rPr>
      </w:pPr>
    </w:p>
    <w:p>
      <w:pPr>
        <w:pStyle w:val="2"/>
        <w:rPr>
          <w:b/>
          <w:color w:val="auto"/>
          <w:sz w:val="48"/>
          <w:szCs w:val="15"/>
          <w:highlight w:val="none"/>
        </w:rPr>
      </w:pPr>
    </w:p>
    <w:p>
      <w:pPr>
        <w:pStyle w:val="2"/>
        <w:rPr>
          <w:b/>
          <w:color w:val="auto"/>
          <w:sz w:val="48"/>
          <w:szCs w:val="15"/>
          <w:highlight w:val="none"/>
        </w:rPr>
      </w:pPr>
    </w:p>
    <w:p>
      <w:pPr>
        <w:pStyle w:val="2"/>
        <w:rPr>
          <w:b/>
          <w:color w:val="auto"/>
          <w:sz w:val="48"/>
          <w:szCs w:val="15"/>
          <w:highlight w:val="none"/>
        </w:rPr>
      </w:pPr>
    </w:p>
    <w:p>
      <w:pPr>
        <w:snapToGrid w:val="0"/>
        <w:spacing w:before="156" w:beforeLines="50" w:line="360" w:lineRule="auto"/>
        <w:ind w:firstLine="1400" w:firstLineChars="500"/>
        <w:rPr>
          <w:color w:val="auto"/>
          <w:sz w:val="28"/>
          <w:szCs w:val="28"/>
          <w:highlight w:val="none"/>
        </w:rPr>
      </w:pPr>
      <w:r>
        <w:rPr>
          <w:rFonts w:hint="eastAsia"/>
          <w:color w:val="auto"/>
          <w:sz w:val="28"/>
          <w:szCs w:val="28"/>
          <w:highlight w:val="none"/>
        </w:rPr>
        <w:t xml:space="preserve">采购人名称：宁波东方理工大学(暂名)   </w:t>
      </w:r>
    </w:p>
    <w:p>
      <w:pPr>
        <w:snapToGrid w:val="0"/>
        <w:spacing w:before="156" w:beforeLines="50" w:line="360" w:lineRule="auto"/>
        <w:jc w:val="center"/>
        <w:rPr>
          <w:color w:val="auto"/>
          <w:sz w:val="28"/>
          <w:szCs w:val="28"/>
          <w:highlight w:val="none"/>
        </w:rPr>
      </w:pPr>
    </w:p>
    <w:p>
      <w:pPr>
        <w:snapToGrid w:val="0"/>
        <w:spacing w:before="156" w:beforeLines="50" w:line="360" w:lineRule="auto"/>
        <w:ind w:firstLine="1400" w:firstLineChars="500"/>
        <w:rPr>
          <w:color w:val="auto"/>
          <w:sz w:val="28"/>
          <w:szCs w:val="28"/>
          <w:highlight w:val="none"/>
        </w:rPr>
      </w:pPr>
      <w:r>
        <w:rPr>
          <w:rFonts w:hint="eastAsia"/>
          <w:color w:val="auto"/>
          <w:sz w:val="28"/>
          <w:szCs w:val="28"/>
          <w:highlight w:val="none"/>
        </w:rPr>
        <w:t>代建人名称：深圳市润置城市建设管理有限公司</w:t>
      </w:r>
    </w:p>
    <w:p>
      <w:pPr>
        <w:pStyle w:val="15"/>
        <w:ind w:firstLine="0" w:firstLineChars="0"/>
        <w:rPr>
          <w:color w:val="auto"/>
          <w:sz w:val="28"/>
          <w:szCs w:val="28"/>
          <w:highlight w:val="none"/>
        </w:rPr>
      </w:pPr>
    </w:p>
    <w:p>
      <w:pPr>
        <w:snapToGrid w:val="0"/>
        <w:spacing w:before="156" w:beforeLines="50" w:line="360" w:lineRule="auto"/>
        <w:jc w:val="center"/>
        <w:rPr>
          <w:b/>
          <w:color w:val="auto"/>
          <w:sz w:val="48"/>
          <w:szCs w:val="15"/>
          <w:highlight w:val="none"/>
        </w:rPr>
      </w:pPr>
      <w:r>
        <w:rPr>
          <w:rFonts w:hint="eastAsia"/>
          <w:color w:val="auto"/>
          <w:sz w:val="28"/>
          <w:szCs w:val="28"/>
          <w:highlight w:val="none"/>
        </w:rPr>
        <w:t xml:space="preserve"> 2023 年  10  月</w:t>
      </w:r>
    </w:p>
    <w:p>
      <w:pPr>
        <w:spacing w:after="120" w:line="480" w:lineRule="auto"/>
        <w:ind w:firstLine="440" w:firstLineChars="100"/>
        <w:jc w:val="center"/>
        <w:rPr>
          <w:b/>
          <w:color w:val="auto"/>
          <w:sz w:val="44"/>
          <w:szCs w:val="44"/>
          <w:highlight w:val="none"/>
        </w:rPr>
      </w:pPr>
    </w:p>
    <w:p>
      <w:pPr>
        <w:pStyle w:val="2"/>
        <w:rPr>
          <w:color w:val="auto"/>
          <w:highlight w:val="none"/>
        </w:rPr>
      </w:pPr>
    </w:p>
    <w:p>
      <w:pPr>
        <w:pStyle w:val="8"/>
        <w:widowControl/>
        <w:spacing w:before="0" w:beforeAutospacing="0" w:after="0" w:afterAutospacing="0" w:line="480" w:lineRule="auto"/>
        <w:jc w:val="center"/>
        <w:rPr>
          <w:rFonts w:asciiTheme="majorEastAsia" w:hAnsiTheme="majorEastAsia" w:eastAsiaTheme="majorEastAsia" w:cstheme="majorEastAsia"/>
          <w:b/>
          <w:color w:val="auto"/>
          <w:sz w:val="40"/>
          <w:szCs w:val="40"/>
          <w:highlight w:val="none"/>
        </w:rPr>
      </w:pPr>
      <w:r>
        <w:rPr>
          <w:rFonts w:hint="eastAsia" w:asciiTheme="majorEastAsia" w:hAnsiTheme="majorEastAsia" w:eastAsiaTheme="majorEastAsia" w:cstheme="majorEastAsia"/>
          <w:b/>
          <w:color w:val="auto"/>
          <w:sz w:val="40"/>
          <w:szCs w:val="40"/>
          <w:highlight w:val="none"/>
        </w:rPr>
        <w:t>宁波东方理工大学(暂名)校园建设项目</w:t>
      </w:r>
    </w:p>
    <w:p>
      <w:pPr>
        <w:jc w:val="center"/>
        <w:rPr>
          <w:rFonts w:asciiTheme="majorEastAsia" w:hAnsiTheme="majorEastAsia" w:eastAsiaTheme="majorEastAsia" w:cstheme="majorEastAsia"/>
          <w:b/>
          <w:color w:val="auto"/>
          <w:kern w:val="0"/>
          <w:sz w:val="40"/>
          <w:szCs w:val="40"/>
          <w:highlight w:val="none"/>
        </w:rPr>
      </w:pPr>
      <w:r>
        <w:rPr>
          <w:rFonts w:hint="eastAsia" w:asciiTheme="majorEastAsia" w:hAnsiTheme="majorEastAsia" w:eastAsiaTheme="majorEastAsia" w:cstheme="majorEastAsia"/>
          <w:b/>
          <w:color w:val="auto"/>
          <w:kern w:val="0"/>
          <w:sz w:val="40"/>
          <w:szCs w:val="40"/>
          <w:highlight w:val="none"/>
        </w:rPr>
        <w:t>永久校区1、2号地块电梯</w:t>
      </w:r>
      <w:r>
        <w:rPr>
          <w:rFonts w:hint="eastAsia" w:asciiTheme="majorEastAsia" w:hAnsiTheme="majorEastAsia" w:eastAsiaTheme="majorEastAsia" w:cstheme="majorEastAsia"/>
          <w:b/>
          <w:color w:val="auto"/>
          <w:kern w:val="0"/>
          <w:sz w:val="40"/>
          <w:szCs w:val="40"/>
          <w:highlight w:val="none"/>
          <w:lang w:val="en-US" w:eastAsia="zh-CN"/>
        </w:rPr>
        <w:t>采购</w:t>
      </w:r>
      <w:r>
        <w:rPr>
          <w:rFonts w:hint="eastAsia" w:asciiTheme="majorEastAsia" w:hAnsiTheme="majorEastAsia" w:eastAsiaTheme="majorEastAsia" w:cstheme="majorEastAsia"/>
          <w:b/>
          <w:color w:val="auto"/>
          <w:kern w:val="0"/>
          <w:sz w:val="40"/>
          <w:szCs w:val="40"/>
          <w:highlight w:val="none"/>
        </w:rPr>
        <w:t>及安装工程</w:t>
      </w:r>
    </w:p>
    <w:p>
      <w:pPr>
        <w:pStyle w:val="8"/>
        <w:widowControl/>
        <w:spacing w:before="0" w:beforeAutospacing="0" w:after="0" w:afterAutospacing="0" w:line="480" w:lineRule="auto"/>
        <w:jc w:val="center"/>
        <w:rPr>
          <w:rFonts w:asciiTheme="majorEastAsia" w:hAnsiTheme="majorEastAsia" w:eastAsiaTheme="majorEastAsia" w:cstheme="majorEastAsia"/>
          <w:b/>
          <w:color w:val="auto"/>
          <w:sz w:val="44"/>
          <w:szCs w:val="44"/>
          <w:highlight w:val="none"/>
        </w:rPr>
      </w:pPr>
      <w:r>
        <w:rPr>
          <w:rFonts w:hint="eastAsia" w:asciiTheme="majorEastAsia" w:hAnsiTheme="majorEastAsia" w:eastAsiaTheme="majorEastAsia" w:cstheme="majorEastAsia"/>
          <w:b/>
          <w:color w:val="auto"/>
          <w:sz w:val="44"/>
          <w:szCs w:val="44"/>
          <w:highlight w:val="none"/>
        </w:rPr>
        <w:t>报名公告</w:t>
      </w:r>
    </w:p>
    <w:p>
      <w:pPr>
        <w:pStyle w:val="2"/>
        <w:ind w:firstLine="0"/>
        <w:rPr>
          <w:b/>
          <w:color w:val="auto"/>
          <w:sz w:val="48"/>
          <w:szCs w:val="15"/>
          <w:highlight w:val="none"/>
        </w:rPr>
      </w:pPr>
    </w:p>
    <w:p>
      <w:pPr>
        <w:pStyle w:val="8"/>
        <w:widowControl/>
        <w:numPr>
          <w:ilvl w:val="0"/>
          <w:numId w:val="1"/>
        </w:numPr>
        <w:spacing w:before="0" w:beforeAutospacing="0" w:after="0" w:afterAutospacing="0" w:line="480" w:lineRule="auto"/>
        <w:ind w:left="40" w:firstLine="480"/>
        <w:jc w:val="both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项目名称：宁波东方理工大学(暂名)校园建设项目永久校区1、2号地块电梯采购及安装工程。</w:t>
      </w:r>
    </w:p>
    <w:p>
      <w:pPr>
        <w:pStyle w:val="8"/>
        <w:widowControl/>
        <w:numPr>
          <w:ilvl w:val="0"/>
          <w:numId w:val="1"/>
        </w:numPr>
        <w:spacing w:before="0" w:beforeAutospacing="0" w:after="0" w:afterAutospacing="0" w:line="480" w:lineRule="auto"/>
        <w:ind w:left="40" w:firstLine="480"/>
        <w:jc w:val="both"/>
        <w:rPr>
          <w:color w:val="auto"/>
          <w:highlight w:val="none"/>
        </w:rPr>
      </w:pPr>
      <w:r>
        <w:rPr>
          <w:color w:val="auto"/>
          <w:highlight w:val="non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1975485</wp:posOffset>
            </wp:positionV>
            <wp:extent cx="5687695" cy="2131695"/>
            <wp:effectExtent l="0" t="0" r="8255" b="1905"/>
            <wp:wrapTopAndBottom/>
            <wp:docPr id="1900387440" name="图片 1900387440" descr="地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387440" name="图片 1900387440" descr="地图&#10;&#10;描述已自动生成"/>
                    <pic:cNvPicPr>
                      <a:picLocks noChangeAspect="1"/>
                    </pic:cNvPicPr>
                  </pic:nvPicPr>
                  <pic:blipFill>
                    <a:blip r:embed="rId5"/>
                    <a:srcRect t="23691" b="6906"/>
                    <a:stretch>
                      <a:fillRect/>
                    </a:stretch>
                  </pic:blipFill>
                  <pic:spPr>
                    <a:xfrm>
                      <a:off x="0" y="0"/>
                      <a:ext cx="5687695" cy="213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auto"/>
          <w:highlight w:val="none"/>
        </w:rPr>
        <w:t>项目概况：宁波东方理工大学</w:t>
      </w:r>
      <w:r>
        <w:rPr>
          <w:rFonts w:ascii="宋体" w:hAnsi="宋体" w:cs="宋体"/>
          <w:color w:val="auto"/>
          <w:highlight w:val="none"/>
        </w:rPr>
        <w:t>(暂名)校园建设项目永久校区1、2号地块</w:t>
      </w:r>
      <w:r>
        <w:rPr>
          <w:rFonts w:hint="eastAsia" w:ascii="宋体" w:hAnsi="宋体" w:cs="宋体"/>
          <w:color w:val="auto"/>
          <w:highlight w:val="none"/>
        </w:rPr>
        <w:t>位于宁波市镇海区清水浦片区，北临风华路，南至滨江路，东至宁波绕城高速。业态包含教学、实验、办公、住宿、食堂、体育场馆等。</w:t>
      </w:r>
    </w:p>
    <w:p>
      <w:pPr>
        <w:pStyle w:val="8"/>
        <w:widowControl/>
        <w:numPr>
          <w:ilvl w:val="0"/>
          <w:numId w:val="1"/>
        </w:numPr>
        <w:spacing w:before="0" w:beforeAutospacing="0" w:after="0" w:afterAutospacing="0" w:line="480" w:lineRule="auto"/>
        <w:ind w:left="40" w:firstLine="480"/>
        <w:jc w:val="both"/>
        <w:rPr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采购范围：核心区、理工组团、东生活组团</w:t>
      </w:r>
      <w:r>
        <w:rPr>
          <w:rFonts w:hint="eastAsia" w:ascii="宋体" w:hAnsi="宋体" w:cs="宋体"/>
          <w:color w:val="auto"/>
          <w:highlight w:val="none"/>
          <w:lang w:val="en-US" w:eastAsia="zh-CN"/>
        </w:rPr>
        <w:t>-1</w:t>
      </w:r>
      <w:r>
        <w:rPr>
          <w:rFonts w:hint="eastAsia" w:ascii="宋体" w:hAnsi="宋体" w:cs="宋体"/>
          <w:color w:val="auto"/>
          <w:highlight w:val="none"/>
        </w:rPr>
        <w:t>（不含院士岛）、体育组团、1号地块（创新中心）电梯共计</w:t>
      </w:r>
      <w:r>
        <w:rPr>
          <w:rFonts w:ascii="宋体" w:hAnsi="宋体" w:cs="宋体"/>
          <w:color w:val="auto"/>
          <w:highlight w:val="none"/>
        </w:rPr>
        <w:t>10</w:t>
      </w:r>
      <w:r>
        <w:rPr>
          <w:rFonts w:hint="eastAsia" w:ascii="宋体" w:hAnsi="宋体" w:cs="宋体"/>
          <w:color w:val="auto"/>
          <w:highlight w:val="none"/>
          <w:lang w:val="en-US" w:eastAsia="zh-CN"/>
        </w:rPr>
        <w:t>9</w:t>
      </w:r>
      <w:r>
        <w:rPr>
          <w:rFonts w:hint="eastAsia" w:ascii="宋体" w:hAnsi="宋体" w:cs="宋体"/>
          <w:color w:val="auto"/>
          <w:highlight w:val="none"/>
        </w:rPr>
        <w:t>台。</w:t>
      </w:r>
    </w:p>
    <w:p>
      <w:pPr>
        <w:pStyle w:val="8"/>
        <w:widowControl/>
        <w:numPr>
          <w:ilvl w:val="0"/>
          <w:numId w:val="1"/>
        </w:numPr>
        <w:spacing w:before="0" w:beforeAutospacing="0" w:after="0" w:afterAutospacing="0" w:line="480" w:lineRule="auto"/>
        <w:ind w:left="40" w:firstLine="480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工期要求：</w:t>
      </w:r>
    </w:p>
    <w:tbl>
      <w:tblPr>
        <w:tblStyle w:val="11"/>
        <w:tblW w:w="93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14"/>
        <w:gridCol w:w="1417"/>
        <w:gridCol w:w="2552"/>
        <w:gridCol w:w="22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14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区块划分</w:t>
            </w:r>
          </w:p>
        </w:tc>
        <w:tc>
          <w:tcPr>
            <w:tcW w:w="1417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台数</w:t>
            </w:r>
          </w:p>
        </w:tc>
        <w:tc>
          <w:tcPr>
            <w:tcW w:w="2552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预计进场时间</w:t>
            </w:r>
          </w:p>
        </w:tc>
        <w:tc>
          <w:tcPr>
            <w:tcW w:w="2239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14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核心区</w:t>
            </w:r>
          </w:p>
        </w:tc>
        <w:tc>
          <w:tcPr>
            <w:tcW w:w="1417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2</w:t>
            </w:r>
            <w:r>
              <w:rPr>
                <w:rFonts w:ascii="宋体" w:hAnsi="宋体" w:cs="宋体"/>
                <w:color w:val="auto"/>
                <w:highlight w:val="none"/>
              </w:rPr>
              <w:t>7</w:t>
            </w:r>
          </w:p>
        </w:tc>
        <w:tc>
          <w:tcPr>
            <w:tcW w:w="2552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ascii="宋体" w:hAnsi="宋体" w:cs="宋体"/>
                <w:color w:val="auto"/>
                <w:highlight w:val="none"/>
              </w:rPr>
              <w:t>2024/5/10</w:t>
            </w:r>
          </w:p>
        </w:tc>
        <w:tc>
          <w:tcPr>
            <w:tcW w:w="2239" w:type="dxa"/>
            <w:vMerge w:val="restart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最终进场时间以</w:t>
            </w: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采购人</w:t>
            </w:r>
            <w:r>
              <w:rPr>
                <w:rFonts w:hint="eastAsia" w:ascii="宋体" w:hAnsi="宋体" w:cs="宋体"/>
                <w:color w:val="auto"/>
                <w:highlight w:val="none"/>
              </w:rPr>
              <w:t>通知为准。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14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理工组团</w:t>
            </w:r>
          </w:p>
        </w:tc>
        <w:tc>
          <w:tcPr>
            <w:tcW w:w="1417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2</w:t>
            </w:r>
            <w:r>
              <w:rPr>
                <w:rFonts w:ascii="宋体" w:hAnsi="宋体" w:cs="宋体"/>
                <w:color w:val="auto"/>
                <w:highlight w:val="none"/>
              </w:rPr>
              <w:t>6</w:t>
            </w:r>
          </w:p>
        </w:tc>
        <w:tc>
          <w:tcPr>
            <w:tcW w:w="2552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ascii="宋体" w:hAnsi="宋体" w:cs="宋体"/>
                <w:color w:val="auto"/>
                <w:highlight w:val="none"/>
              </w:rPr>
              <w:t>2024/6/1</w:t>
            </w:r>
          </w:p>
        </w:tc>
        <w:tc>
          <w:tcPr>
            <w:tcW w:w="2239" w:type="dxa"/>
            <w:vMerge w:val="continue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14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东生活组团</w:t>
            </w: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-1</w:t>
            </w:r>
            <w:r>
              <w:rPr>
                <w:rFonts w:hint="eastAsia" w:ascii="宋体" w:hAnsi="宋体" w:cs="宋体"/>
                <w:color w:val="auto"/>
                <w:highlight w:val="none"/>
              </w:rPr>
              <w:t>（不含院士岛）</w:t>
            </w:r>
          </w:p>
        </w:tc>
        <w:tc>
          <w:tcPr>
            <w:tcW w:w="1417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hint="default" w:ascii="宋体" w:hAnsi="宋体" w:eastAsia="宋体" w:cs="宋体"/>
                <w:color w:val="auto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33</w:t>
            </w:r>
          </w:p>
        </w:tc>
        <w:tc>
          <w:tcPr>
            <w:tcW w:w="2552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ascii="宋体" w:hAnsi="宋体" w:cs="宋体"/>
                <w:color w:val="auto"/>
                <w:highlight w:val="none"/>
              </w:rPr>
              <w:t>2024/5/10</w:t>
            </w:r>
          </w:p>
        </w:tc>
        <w:tc>
          <w:tcPr>
            <w:tcW w:w="2239" w:type="dxa"/>
            <w:vMerge w:val="continue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14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体育组团</w:t>
            </w:r>
          </w:p>
        </w:tc>
        <w:tc>
          <w:tcPr>
            <w:tcW w:w="1417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6</w:t>
            </w:r>
          </w:p>
        </w:tc>
        <w:tc>
          <w:tcPr>
            <w:tcW w:w="2552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ascii="宋体" w:hAnsi="宋体" w:cs="宋体"/>
                <w:color w:val="auto"/>
                <w:highlight w:val="none"/>
              </w:rPr>
              <w:t>2024/6/1</w:t>
            </w:r>
          </w:p>
        </w:tc>
        <w:tc>
          <w:tcPr>
            <w:tcW w:w="2239" w:type="dxa"/>
            <w:vMerge w:val="continue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14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1号地块（创新中心）</w:t>
            </w:r>
          </w:p>
        </w:tc>
        <w:tc>
          <w:tcPr>
            <w:tcW w:w="1417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1</w:t>
            </w:r>
            <w:r>
              <w:rPr>
                <w:rFonts w:ascii="宋体" w:hAnsi="宋体" w:cs="宋体"/>
                <w:color w:val="auto"/>
                <w:highlight w:val="none"/>
              </w:rPr>
              <w:t>7</w:t>
            </w:r>
          </w:p>
        </w:tc>
        <w:tc>
          <w:tcPr>
            <w:tcW w:w="2552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ascii="宋体" w:hAnsi="宋体" w:cs="宋体"/>
                <w:color w:val="auto"/>
                <w:highlight w:val="none"/>
              </w:rPr>
              <w:t>2024/6/1</w:t>
            </w:r>
          </w:p>
        </w:tc>
        <w:tc>
          <w:tcPr>
            <w:tcW w:w="2239" w:type="dxa"/>
            <w:vMerge w:val="continue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14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合计</w:t>
            </w:r>
          </w:p>
        </w:tc>
        <w:tc>
          <w:tcPr>
            <w:tcW w:w="1417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hint="eastAsia" w:ascii="宋体" w:hAnsi="宋体" w:eastAsia="宋体" w:cs="宋体"/>
                <w:color w:val="auto"/>
                <w:highlight w:val="none"/>
                <w:lang w:eastAsia="zh-CN"/>
              </w:rPr>
            </w:pPr>
            <w:r>
              <w:rPr>
                <w:rFonts w:hint="eastAsia" w:ascii="宋体" w:hAnsi="宋体" w:cs="宋体"/>
                <w:color w:val="auto"/>
                <w:highlight w:val="none"/>
              </w:rPr>
              <w:t>1</w:t>
            </w:r>
            <w:r>
              <w:rPr>
                <w:rFonts w:ascii="宋体" w:hAnsi="宋体" w:cs="宋体"/>
                <w:color w:val="auto"/>
                <w:highlight w:val="none"/>
              </w:rPr>
              <w:t>0</w:t>
            </w:r>
            <w:r>
              <w:rPr>
                <w:rFonts w:hint="eastAsia" w:ascii="宋体" w:hAnsi="宋体" w:cs="宋体"/>
                <w:color w:val="auto"/>
                <w:highlight w:val="none"/>
                <w:lang w:val="en-US" w:eastAsia="zh-CN"/>
              </w:rPr>
              <w:t>9</w:t>
            </w:r>
          </w:p>
        </w:tc>
        <w:tc>
          <w:tcPr>
            <w:tcW w:w="2552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</w:p>
        </w:tc>
        <w:tc>
          <w:tcPr>
            <w:tcW w:w="2239" w:type="dxa"/>
            <w:vAlign w:val="center"/>
          </w:tcPr>
          <w:p>
            <w:pPr>
              <w:pStyle w:val="8"/>
              <w:spacing w:line="480" w:lineRule="auto"/>
              <w:jc w:val="center"/>
              <w:rPr>
                <w:rFonts w:ascii="宋体" w:hAnsi="宋体" w:cs="宋体"/>
                <w:color w:val="auto"/>
                <w:highlight w:val="none"/>
              </w:rPr>
            </w:pPr>
          </w:p>
        </w:tc>
      </w:tr>
    </w:tbl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交货周期：合同签订、接采购人通知后</w:t>
      </w:r>
      <w:r>
        <w:rPr>
          <w:rFonts w:ascii="宋体" w:hAnsi="宋体" w:cs="宋体"/>
          <w:color w:val="auto"/>
          <w:highlight w:val="none"/>
        </w:rPr>
        <w:t xml:space="preserve"> 90</w:t>
      </w:r>
      <w:r>
        <w:rPr>
          <w:rFonts w:hint="eastAsia" w:ascii="宋体" w:hAnsi="宋体" w:cs="宋体"/>
          <w:color w:val="auto"/>
          <w:highlight w:val="none"/>
        </w:rPr>
        <w:t>日历天内完成设备制造，并按时运送至现场；</w:t>
      </w:r>
    </w:p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安装周期：每批次从采购人提出安装通知之日起</w:t>
      </w:r>
      <w:r>
        <w:rPr>
          <w:rFonts w:ascii="宋体" w:hAnsi="宋体" w:cs="宋体"/>
          <w:color w:val="auto"/>
          <w:highlight w:val="none"/>
        </w:rPr>
        <w:t>60</w:t>
      </w:r>
      <w:r>
        <w:rPr>
          <w:rFonts w:hint="eastAsia" w:ascii="宋体" w:hAnsi="宋体" w:cs="宋体"/>
          <w:color w:val="auto"/>
          <w:highlight w:val="none"/>
        </w:rPr>
        <w:t>日历天内，供应商应完成设备就位、安装、调试、试车，通过宁波市特检院验收并取得使用登记证书。</w:t>
      </w:r>
    </w:p>
    <w:p>
      <w:pPr>
        <w:pStyle w:val="8"/>
        <w:widowControl/>
        <w:numPr>
          <w:ilvl w:val="0"/>
          <w:numId w:val="1"/>
        </w:numPr>
        <w:spacing w:before="0" w:beforeAutospacing="0" w:after="0" w:afterAutospacing="0" w:line="480" w:lineRule="auto"/>
        <w:ind w:left="40" w:firstLine="480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潜在的报名方资格及提交资料：</w:t>
      </w:r>
    </w:p>
    <w:p>
      <w:pPr>
        <w:pStyle w:val="8"/>
        <w:widowControl/>
        <w:numPr>
          <w:ilvl w:val="0"/>
          <w:numId w:val="2"/>
        </w:numPr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报名方具有独立的法人资格，具备有效的营业执照（提供公司营业执照等相关复印件），正式投产5年以上知名品牌电梯专业制造厂。</w:t>
      </w:r>
    </w:p>
    <w:p>
      <w:pPr>
        <w:pStyle w:val="8"/>
        <w:widowControl/>
        <w:numPr>
          <w:ilvl w:val="0"/>
          <w:numId w:val="2"/>
        </w:numPr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资质要求：1）产品制造商应具有《中华人民共和国特种设备制造许可证》(电梯)；</w:t>
      </w:r>
    </w:p>
    <w:p>
      <w:pPr>
        <w:pStyle w:val="8"/>
        <w:widowControl/>
        <w:spacing w:before="0" w:beforeAutospacing="0" w:after="0" w:afterAutospacing="0" w:line="480" w:lineRule="auto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2）投标人应具有《中华人民共和国特种设备安装改造维修许可证》(电梯)安装及维修A级资格证书;3）投标人应在宁波地区设有固定的销售、安装、售后服务及维修保养机构;</w:t>
      </w:r>
    </w:p>
    <w:p>
      <w:pPr>
        <w:pStyle w:val="8"/>
        <w:widowControl/>
        <w:spacing w:before="0" w:beforeAutospacing="0" w:after="0" w:afterAutospacing="0" w:line="480" w:lineRule="auto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4）投标人应已取得 ISO9000 系列质量管理体系认证。</w:t>
      </w:r>
    </w:p>
    <w:p>
      <w:pPr>
        <w:pStyle w:val="8"/>
        <w:widowControl/>
        <w:numPr>
          <w:ilvl w:val="0"/>
          <w:numId w:val="2"/>
        </w:numPr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公司业绩要求：投标人最近五年内(2018年10月1日至今)应在中国境内承接过1~3项类似项目(单个合同金额不低于人民币2000万元)，以上业绩须提供用户的书面证明材料。</w:t>
      </w:r>
    </w:p>
    <w:p>
      <w:pPr>
        <w:pStyle w:val="8"/>
        <w:widowControl/>
        <w:numPr>
          <w:ilvl w:val="0"/>
          <w:numId w:val="2"/>
        </w:numPr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拟派项目团队要求：</w:t>
      </w:r>
    </w:p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1）投标人应设安装现场指挥部及安装负责人（不小于1</w:t>
      </w:r>
      <w:r>
        <w:rPr>
          <w:rFonts w:ascii="宋体" w:hAnsi="宋体" w:cs="宋体"/>
          <w:color w:val="auto"/>
          <w:highlight w:val="none"/>
        </w:rPr>
        <w:t>0</w:t>
      </w:r>
      <w:r>
        <w:rPr>
          <w:rFonts w:hint="eastAsia" w:ascii="宋体" w:hAnsi="宋体" w:cs="宋体"/>
          <w:color w:val="auto"/>
          <w:highlight w:val="none"/>
        </w:rPr>
        <w:t>年相关工作经验）和技术、质检、计划负责人，负责安装工程的计划、协调、人力调配及工程质量管理等工作；还应设有多名现场安装工程师，负责技术指导、质量监督、安装现场测量、安装质量记录、检查认可等。</w:t>
      </w:r>
    </w:p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2）投标人须配备专职安全管理人员须从事电梯安装安全管理工作</w:t>
      </w:r>
      <w:r>
        <w:rPr>
          <w:rFonts w:ascii="宋体" w:hAnsi="宋体" w:cs="宋体"/>
          <w:color w:val="auto"/>
          <w:highlight w:val="none"/>
        </w:rPr>
        <w:t>5</w:t>
      </w:r>
      <w:r>
        <w:rPr>
          <w:rFonts w:hint="eastAsia" w:ascii="宋体" w:hAnsi="宋体" w:cs="宋体"/>
          <w:color w:val="auto"/>
          <w:highlight w:val="none"/>
        </w:rPr>
        <w:t>年以上，大学专科以上学历，持有行业主管部门颁发的上岗证件。</w:t>
      </w:r>
    </w:p>
    <w:p>
      <w:pPr>
        <w:pStyle w:val="8"/>
        <w:widowControl/>
        <w:spacing w:before="0" w:beforeAutospacing="0" w:after="0" w:afterAutospacing="0" w:line="480" w:lineRule="auto"/>
        <w:rPr>
          <w:rFonts w:ascii="宋体" w:hAnsi="宋体" w:cs="宋体"/>
          <w:color w:val="auto"/>
          <w:highlight w:val="none"/>
        </w:rPr>
      </w:pPr>
    </w:p>
    <w:p>
      <w:pPr>
        <w:pStyle w:val="8"/>
        <w:widowControl/>
        <w:numPr>
          <w:ilvl w:val="0"/>
          <w:numId w:val="2"/>
        </w:numPr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近三年（2020-2022年）经第三方审计的财务报告，营业额及资产负债率情况。</w:t>
      </w:r>
    </w:p>
    <w:p>
      <w:pPr>
        <w:pStyle w:val="8"/>
        <w:widowControl/>
        <w:numPr>
          <w:ilvl w:val="0"/>
          <w:numId w:val="2"/>
        </w:numPr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投标人的信用情况；投标人、法定代表人、项目负责人未被“信用中国”列入严重失信主体名单和“信用中国（浙江）”列入黑名单。</w:t>
      </w:r>
    </w:p>
    <w:p>
      <w:pPr>
        <w:pStyle w:val="8"/>
        <w:widowControl/>
        <w:numPr>
          <w:ilvl w:val="0"/>
          <w:numId w:val="2"/>
        </w:numPr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在“信用中国”网站(www.creditchina.gov.cn)的信用记录网页截图证明加盖公章(报名时提供失信被执行人、重大税收违法失信主体和政府采购严重 违法失信行为记录名单查询页面截图，截图须附系统时间，日期为报名公告发布之日后)。</w:t>
      </w:r>
    </w:p>
    <w:p>
      <w:pPr>
        <w:pStyle w:val="8"/>
        <w:widowControl/>
        <w:numPr>
          <w:ilvl w:val="0"/>
          <w:numId w:val="2"/>
        </w:numPr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本项目不接受联合体报名。</w:t>
      </w:r>
    </w:p>
    <w:p>
      <w:pPr>
        <w:pStyle w:val="8"/>
        <w:widowControl/>
        <w:numPr>
          <w:ilvl w:val="0"/>
          <w:numId w:val="2"/>
        </w:numPr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投标人认为有必要的其他资料。</w:t>
      </w:r>
    </w:p>
    <w:p>
      <w:pPr>
        <w:pStyle w:val="8"/>
        <w:widowControl/>
        <w:spacing w:before="0" w:beforeAutospacing="0" w:after="0" w:afterAutospacing="0" w:line="480" w:lineRule="auto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 xml:space="preserve">    10. 报名资料需编制目录索引。</w:t>
      </w:r>
    </w:p>
    <w:p>
      <w:pPr>
        <w:pStyle w:val="8"/>
        <w:widowControl/>
        <w:spacing w:before="0" w:beforeAutospacing="0" w:after="0" w:afterAutospacing="0" w:line="480" w:lineRule="auto"/>
        <w:ind w:left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11. 本项目不接受存在控股关系的两家及以上单位同时报名。</w:t>
      </w:r>
    </w:p>
    <w:p>
      <w:pPr>
        <w:pStyle w:val="8"/>
        <w:widowControl/>
        <w:spacing w:before="0" w:beforeAutospacing="0" w:after="0" w:afterAutospacing="0" w:line="480" w:lineRule="auto"/>
        <w:ind w:firstLine="480" w:firstLineChars="200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12. 学校保留要求各投标单位提供其他资料的权利。</w:t>
      </w:r>
    </w:p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b/>
          <w:bCs/>
          <w:color w:val="auto"/>
          <w:highlight w:val="none"/>
        </w:rPr>
        <w:t>请报名方认真对照资格条件，如不符合要求的，无意或故意参与报名，经评审发现的则取消报名方资格；评审过程中，报名方提供的相关证件为虚假或伪造，或者其他人员持法定代表人或授权委托人的身份证参与报名，一经发现亦取消报名方资格，且所产生的一切后果由报名方自行承担。</w:t>
      </w:r>
    </w:p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六、报名保证金的缴纳：</w:t>
      </w:r>
    </w:p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ascii="宋体" w:hAnsi="宋体" w:cs="宋体"/>
          <w:color w:val="auto"/>
          <w:highlight w:val="none"/>
        </w:rPr>
        <w:t xml:space="preserve">金额：人民币 </w:t>
      </w:r>
      <w:r>
        <w:rPr>
          <w:rFonts w:hint="eastAsia" w:ascii="宋体" w:hAnsi="宋体" w:cs="宋体"/>
          <w:color w:val="auto"/>
          <w:highlight w:val="none"/>
        </w:rPr>
        <w:t>壹万元整</w:t>
      </w:r>
      <w:r>
        <w:rPr>
          <w:rFonts w:ascii="宋体" w:hAnsi="宋体" w:cs="宋体"/>
          <w:color w:val="auto"/>
          <w:highlight w:val="none"/>
        </w:rPr>
        <w:t>。</w:t>
      </w:r>
    </w:p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ascii="宋体" w:hAnsi="宋体" w:cs="宋体"/>
          <w:color w:val="auto"/>
          <w:highlight w:val="none"/>
        </w:rPr>
        <w:t>通过供应商的基本账户以银行转账方式缴入以下账户</w:t>
      </w:r>
    </w:p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ascii="宋体" w:hAnsi="宋体" w:cs="宋体"/>
          <w:color w:val="auto"/>
          <w:highlight w:val="none"/>
        </w:rPr>
        <w:t xml:space="preserve">账户名：深圳市润置城市建设管理有限公司 </w:t>
      </w:r>
    </w:p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ascii="宋体" w:hAnsi="宋体" w:cs="宋体"/>
          <w:color w:val="auto"/>
          <w:highlight w:val="none"/>
        </w:rPr>
        <w:t>开户行：交通银行深圳分行营业部</w:t>
      </w:r>
    </w:p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ascii="宋体" w:hAnsi="宋体" w:cs="宋体"/>
          <w:color w:val="auto"/>
          <w:highlight w:val="none"/>
        </w:rPr>
        <w:t>银行账号：443066285013006976000</w:t>
      </w:r>
    </w:p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ascii="宋体" w:hAnsi="宋体" w:cs="宋体"/>
          <w:color w:val="auto"/>
          <w:highlight w:val="none"/>
        </w:rPr>
        <w:t>提交截止时间：</w:t>
      </w:r>
      <w:r>
        <w:rPr>
          <w:rFonts w:ascii="宋体" w:hAnsi="宋体" w:cs="宋体"/>
          <w:b/>
          <w:bCs/>
          <w:color w:val="auto"/>
          <w:highlight w:val="none"/>
        </w:rPr>
        <w:t>2023年</w:t>
      </w:r>
      <w:r>
        <w:rPr>
          <w:rFonts w:hint="eastAsia" w:ascii="宋体" w:hAnsi="宋体" w:cs="宋体"/>
          <w:b/>
          <w:bCs/>
          <w:color w:val="auto"/>
          <w:highlight w:val="none"/>
        </w:rPr>
        <w:t>1</w:t>
      </w:r>
      <w:r>
        <w:rPr>
          <w:rFonts w:hint="eastAsia" w:ascii="宋体" w:hAnsi="宋体" w:cs="宋体"/>
          <w:b/>
          <w:bCs/>
          <w:color w:val="auto"/>
          <w:highlight w:val="none"/>
          <w:lang w:val="en-US" w:eastAsia="zh-CN"/>
        </w:rPr>
        <w:t>1</w:t>
      </w:r>
      <w:r>
        <w:rPr>
          <w:rFonts w:ascii="宋体" w:hAnsi="宋体" w:cs="宋体"/>
          <w:b/>
          <w:bCs/>
          <w:color w:val="auto"/>
          <w:highlight w:val="none"/>
        </w:rPr>
        <w:t>月</w:t>
      </w:r>
      <w:r>
        <w:rPr>
          <w:rFonts w:hint="eastAsia" w:ascii="宋体" w:hAnsi="宋体" w:cs="宋体"/>
          <w:b/>
          <w:bCs/>
          <w:color w:val="auto"/>
          <w:highlight w:val="none"/>
          <w:lang w:val="en-US" w:eastAsia="zh-CN"/>
        </w:rPr>
        <w:t>1</w:t>
      </w:r>
      <w:r>
        <w:rPr>
          <w:rFonts w:ascii="宋体" w:hAnsi="宋体" w:cs="宋体"/>
          <w:b/>
          <w:bCs/>
          <w:color w:val="auto"/>
          <w:highlight w:val="none"/>
        </w:rPr>
        <w:t>日1</w:t>
      </w:r>
      <w:r>
        <w:rPr>
          <w:rFonts w:hint="eastAsia" w:ascii="宋体" w:hAnsi="宋体" w:cs="宋体"/>
          <w:b/>
          <w:bCs/>
          <w:color w:val="auto"/>
          <w:highlight w:val="none"/>
        </w:rPr>
        <w:t>1</w:t>
      </w:r>
      <w:r>
        <w:rPr>
          <w:rFonts w:ascii="宋体" w:hAnsi="宋体" w:cs="宋体"/>
          <w:b/>
          <w:bCs/>
          <w:color w:val="auto"/>
          <w:highlight w:val="none"/>
        </w:rPr>
        <w:t>:00</w:t>
      </w:r>
    </w:p>
    <w:p>
      <w:pPr>
        <w:pStyle w:val="8"/>
        <w:widowControl/>
        <w:spacing w:before="0" w:beforeAutospacing="0" w:after="0" w:afterAutospacing="0" w:line="480" w:lineRule="auto"/>
        <w:ind w:firstLine="482"/>
        <w:rPr>
          <w:rFonts w:ascii="宋体" w:hAnsi="宋体" w:cs="宋体"/>
          <w:color w:val="auto"/>
          <w:highlight w:val="none"/>
        </w:rPr>
      </w:pPr>
      <w:r>
        <w:rPr>
          <w:rFonts w:ascii="宋体" w:hAnsi="宋体" w:cs="宋体"/>
          <w:color w:val="auto"/>
          <w:highlight w:val="none"/>
        </w:rPr>
        <w:t>（北京时间，以资金到达上述账户时间为准。同时需将缴纳投标保证金的付款凭证发送到邮箱CRLD_NBDFLGHY_ZY@crland.com.cn）</w:t>
      </w:r>
    </w:p>
    <w:p>
      <w:pPr>
        <w:pStyle w:val="8"/>
        <w:widowControl/>
        <w:spacing w:before="0" w:beforeAutospacing="0" w:after="0" w:afterAutospacing="0" w:line="480" w:lineRule="auto"/>
        <w:ind w:left="2" w:firstLine="480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七、报名文件接收：</w:t>
      </w:r>
    </w:p>
    <w:p>
      <w:pPr>
        <w:pStyle w:val="8"/>
        <w:widowControl/>
        <w:spacing w:before="0" w:beforeAutospacing="0" w:after="0" w:afterAutospacing="0" w:line="480" w:lineRule="auto"/>
        <w:ind w:left="2" w:firstLine="480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1、凡符合报名资格要求并有意参加者，请于2023年 1</w:t>
      </w:r>
      <w:r>
        <w:rPr>
          <w:rFonts w:hint="eastAsia" w:ascii="宋体" w:hAnsi="宋体" w:cs="宋体"/>
          <w:color w:val="auto"/>
          <w:highlight w:val="none"/>
          <w:lang w:val="en-US" w:eastAsia="zh-CN"/>
        </w:rPr>
        <w:t>1</w:t>
      </w:r>
      <w:r>
        <w:rPr>
          <w:rFonts w:hint="eastAsia" w:ascii="宋体" w:hAnsi="宋体" w:cs="宋体"/>
          <w:color w:val="auto"/>
          <w:highlight w:val="none"/>
        </w:rPr>
        <w:t xml:space="preserve"> 月</w:t>
      </w:r>
      <w:r>
        <w:rPr>
          <w:rFonts w:hint="eastAsia" w:ascii="宋体" w:hAnsi="宋体" w:cs="宋体"/>
          <w:color w:val="auto"/>
          <w:highlight w:val="none"/>
          <w:lang w:val="en-US" w:eastAsia="zh-CN"/>
        </w:rPr>
        <w:t>1</w:t>
      </w:r>
      <w:r>
        <w:rPr>
          <w:rFonts w:hint="eastAsia" w:ascii="宋体" w:hAnsi="宋体" w:cs="宋体"/>
          <w:color w:val="auto"/>
          <w:highlight w:val="none"/>
        </w:rPr>
        <w:t>日 11:00 前至宁波市镇海区同心路568号开元新青年广场2号楼三层递交报名文件（纸质版一式三份，电子版一份，电子版需提供可编辑Word版及PDF版）。</w:t>
      </w:r>
    </w:p>
    <w:p>
      <w:pPr>
        <w:pStyle w:val="8"/>
        <w:widowControl/>
        <w:spacing w:before="0" w:beforeAutospacing="0" w:after="0" w:afterAutospacing="0" w:line="480" w:lineRule="auto"/>
        <w:ind w:left="2" w:firstLine="480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2、本次报名公告发布在宁波东方理工大学（暂名）（https://www.eitech.edu.cn）、中国招标投标公共服务平台（http://www.cebpubservice.com/），报名文件可从宁波东方理工大学（暂名）（https://www.eitech.edu.cn）下载获取。</w:t>
      </w:r>
    </w:p>
    <w:p>
      <w:pPr>
        <w:pStyle w:val="8"/>
        <w:widowControl/>
        <w:spacing w:before="0" w:beforeAutospacing="0" w:after="0" w:afterAutospacing="0" w:line="480" w:lineRule="auto"/>
        <w:ind w:left="2" w:firstLine="480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3、有关本次报名的事项若存在变动或修改，敬请及时关注宁波东方理工大学（暂名）（https://www.eitech.edu.cn）、中国招标投标公共服务平台（http://www.cebpubservice.com/）发布的信息更正公告，恕不另行通知，如有遗漏采购人概不负责。</w:t>
      </w:r>
    </w:p>
    <w:p>
      <w:pPr>
        <w:pStyle w:val="8"/>
        <w:widowControl/>
        <w:spacing w:before="0" w:beforeAutospacing="0" w:after="0" w:afterAutospacing="0" w:line="480" w:lineRule="auto"/>
        <w:ind w:firstLine="480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八、报名文件接收截止时间：</w:t>
      </w:r>
      <w:r>
        <w:rPr>
          <w:rFonts w:hint="eastAsia" w:ascii="宋体" w:hAnsi="宋体" w:cs="宋体"/>
          <w:b/>
          <w:bCs/>
          <w:color w:val="auto"/>
          <w:highlight w:val="none"/>
        </w:rPr>
        <w:t>2023年1</w:t>
      </w:r>
      <w:r>
        <w:rPr>
          <w:rFonts w:hint="eastAsia" w:ascii="宋体" w:hAnsi="宋体" w:cs="宋体"/>
          <w:b/>
          <w:bCs/>
          <w:color w:val="auto"/>
          <w:highlight w:val="none"/>
          <w:lang w:val="en-US" w:eastAsia="zh-CN"/>
        </w:rPr>
        <w:t>1</w:t>
      </w:r>
      <w:r>
        <w:rPr>
          <w:rFonts w:hint="eastAsia" w:ascii="宋体" w:hAnsi="宋体" w:cs="宋体"/>
          <w:b/>
          <w:bCs/>
          <w:color w:val="auto"/>
          <w:highlight w:val="none"/>
        </w:rPr>
        <w:t>月</w:t>
      </w:r>
      <w:r>
        <w:rPr>
          <w:rFonts w:hint="eastAsia" w:ascii="宋体" w:hAnsi="宋体" w:cs="宋体"/>
          <w:b/>
          <w:bCs/>
          <w:color w:val="auto"/>
          <w:highlight w:val="none"/>
          <w:lang w:val="en-US" w:eastAsia="zh-CN"/>
        </w:rPr>
        <w:t>1</w:t>
      </w:r>
      <w:r>
        <w:rPr>
          <w:rFonts w:hint="eastAsia" w:ascii="宋体" w:hAnsi="宋体" w:cs="宋体"/>
          <w:b/>
          <w:bCs/>
          <w:color w:val="auto"/>
          <w:highlight w:val="none"/>
        </w:rPr>
        <w:t>日11:00</w:t>
      </w:r>
      <w:r>
        <w:rPr>
          <w:rFonts w:hint="eastAsia" w:ascii="宋体" w:hAnsi="宋体" w:cs="宋体"/>
          <w:color w:val="auto"/>
          <w:highlight w:val="none"/>
        </w:rPr>
        <w:t>。</w:t>
      </w:r>
    </w:p>
    <w:p>
      <w:pPr>
        <w:pStyle w:val="8"/>
        <w:widowControl/>
        <w:spacing w:before="0" w:beforeAutospacing="0" w:after="0" w:afterAutospacing="0" w:line="480" w:lineRule="auto"/>
        <w:ind w:firstLine="480"/>
        <w:rPr>
          <w:rFonts w:ascii="宋体" w:hAnsi="宋体" w:cs="宋体"/>
          <w:color w:val="auto"/>
          <w:highlight w:val="none"/>
        </w:rPr>
      </w:pPr>
      <w:r>
        <w:rPr>
          <w:rFonts w:hint="eastAsia" w:ascii="宋体" w:hAnsi="宋体" w:cs="宋体"/>
          <w:color w:val="auto"/>
          <w:highlight w:val="none"/>
        </w:rPr>
        <w:t>八、联系方式</w:t>
      </w:r>
    </w:p>
    <w:p>
      <w:pPr>
        <w:pStyle w:val="8"/>
        <w:widowControl/>
        <w:spacing w:before="0" w:beforeAutospacing="0" w:after="0" w:afterAutospacing="0" w:line="480" w:lineRule="auto"/>
        <w:ind w:firstLine="480" w:firstLineChars="200"/>
        <w:rPr>
          <w:rFonts w:ascii="宋体" w:hAnsi="宋体" w:cs="宋体"/>
          <w:bCs/>
          <w:color w:val="auto"/>
          <w:highlight w:val="none"/>
        </w:rPr>
      </w:pPr>
      <w:r>
        <w:rPr>
          <w:rFonts w:hint="eastAsia" w:ascii="宋体" w:hAnsi="宋体" w:cs="宋体"/>
          <w:bCs/>
          <w:color w:val="auto"/>
          <w:highlight w:val="none"/>
        </w:rPr>
        <w:t>采 购 人：宁波东方理工大学（暂名）</w:t>
      </w:r>
    </w:p>
    <w:p>
      <w:pPr>
        <w:pStyle w:val="8"/>
        <w:widowControl/>
        <w:spacing w:before="0" w:beforeAutospacing="0" w:after="0" w:afterAutospacing="0" w:line="480" w:lineRule="auto"/>
        <w:ind w:firstLine="480" w:firstLineChars="200"/>
        <w:rPr>
          <w:rFonts w:ascii="宋体" w:hAnsi="宋体" w:cs="宋体"/>
          <w:bCs/>
          <w:color w:val="auto"/>
          <w:highlight w:val="none"/>
        </w:rPr>
      </w:pPr>
      <w:r>
        <w:rPr>
          <w:rFonts w:hint="eastAsia" w:ascii="宋体" w:hAnsi="宋体" w:cs="宋体"/>
          <w:bCs/>
          <w:color w:val="auto"/>
          <w:highlight w:val="none"/>
        </w:rPr>
        <w:t>联 系 人：徐老师</w:t>
      </w:r>
    </w:p>
    <w:p>
      <w:pPr>
        <w:pStyle w:val="8"/>
        <w:widowControl/>
        <w:spacing w:before="0" w:beforeAutospacing="0" w:after="0" w:afterAutospacing="0" w:line="480" w:lineRule="auto"/>
        <w:ind w:firstLine="480" w:firstLineChars="200"/>
        <w:rPr>
          <w:rFonts w:ascii="宋体" w:hAnsi="宋体" w:cs="宋体"/>
          <w:bCs/>
          <w:color w:val="auto"/>
          <w:highlight w:val="none"/>
        </w:rPr>
      </w:pPr>
      <w:r>
        <w:rPr>
          <w:rFonts w:hint="eastAsia" w:ascii="宋体" w:hAnsi="宋体" w:cs="宋体"/>
          <w:bCs/>
          <w:color w:val="auto"/>
          <w:highlight w:val="none"/>
        </w:rPr>
        <w:t>联系电话：13656581969</w:t>
      </w:r>
    </w:p>
    <w:p>
      <w:pPr>
        <w:pStyle w:val="8"/>
        <w:widowControl/>
        <w:spacing w:before="0" w:beforeAutospacing="0" w:after="0" w:afterAutospacing="0" w:line="480" w:lineRule="auto"/>
        <w:ind w:firstLine="480" w:firstLineChars="200"/>
        <w:rPr>
          <w:rFonts w:ascii="宋体" w:hAnsi="宋体" w:cs="宋体"/>
          <w:bCs/>
          <w:color w:val="auto"/>
          <w:highlight w:val="none"/>
        </w:rPr>
      </w:pPr>
      <w:r>
        <w:rPr>
          <w:rFonts w:hint="eastAsia" w:ascii="宋体" w:hAnsi="宋体" w:cs="宋体"/>
          <w:bCs/>
          <w:color w:val="auto"/>
          <w:highlight w:val="none"/>
        </w:rPr>
        <w:t>代建单位：深圳市润置城市建设管理有限公司</w:t>
      </w:r>
    </w:p>
    <w:p>
      <w:pPr>
        <w:pStyle w:val="8"/>
        <w:widowControl/>
        <w:spacing w:before="0" w:beforeAutospacing="0" w:after="0" w:afterAutospacing="0" w:line="480" w:lineRule="auto"/>
        <w:ind w:firstLine="480" w:firstLineChars="200"/>
        <w:rPr>
          <w:rFonts w:ascii="宋体" w:hAnsi="宋体" w:cs="宋体"/>
          <w:bCs/>
          <w:color w:val="auto"/>
          <w:highlight w:val="none"/>
        </w:rPr>
      </w:pPr>
      <w:r>
        <w:rPr>
          <w:rFonts w:hint="eastAsia" w:ascii="宋体" w:hAnsi="宋体" w:cs="宋体"/>
          <w:bCs/>
          <w:color w:val="auto"/>
          <w:highlight w:val="none"/>
        </w:rPr>
        <w:t>联 系 人：伏恬甜</w:t>
      </w:r>
    </w:p>
    <w:p>
      <w:pPr>
        <w:pStyle w:val="8"/>
        <w:widowControl/>
        <w:spacing w:before="0" w:beforeAutospacing="0" w:after="0" w:afterAutospacing="0" w:line="480" w:lineRule="auto"/>
        <w:ind w:firstLine="480" w:firstLineChars="200"/>
        <w:rPr>
          <w:rFonts w:ascii="宋体" w:hAnsi="宋体" w:cs="宋体"/>
          <w:bCs/>
          <w:color w:val="auto"/>
          <w:highlight w:val="none"/>
        </w:rPr>
      </w:pPr>
      <w:r>
        <w:rPr>
          <w:rFonts w:hint="eastAsia" w:ascii="宋体" w:hAnsi="宋体" w:cs="宋体"/>
          <w:bCs/>
          <w:color w:val="auto"/>
          <w:highlight w:val="none"/>
        </w:rPr>
        <w:t>联系电话：16605276508</w:t>
      </w:r>
    </w:p>
    <w:p>
      <w:pPr>
        <w:pStyle w:val="8"/>
        <w:widowControl/>
        <w:spacing w:before="0" w:beforeAutospacing="0" w:after="0" w:afterAutospacing="0" w:line="480" w:lineRule="auto"/>
        <w:ind w:firstLine="480" w:firstLineChars="200"/>
        <w:rPr>
          <w:rFonts w:ascii="宋体" w:hAnsi="宋体" w:cs="宋体"/>
          <w:bCs/>
          <w:color w:val="auto"/>
          <w:highlight w:val="none"/>
        </w:rPr>
      </w:pPr>
      <w:r>
        <w:rPr>
          <w:rFonts w:hint="eastAsia" w:ascii="宋体" w:hAnsi="宋体" w:cs="宋体"/>
          <w:bCs/>
          <w:color w:val="auto"/>
          <w:highlight w:val="none"/>
        </w:rPr>
        <w:t>地 址：宁波市镇海区同心路568号开元新青年广场2号楼3层</w:t>
      </w:r>
    </w:p>
    <w:sectPr>
      <w:footerReference r:id="rId3" w:type="default"/>
      <w:pgSz w:w="11906" w:h="16838"/>
      <w:pgMar w:top="986" w:right="1230" w:bottom="930" w:left="1344" w:header="737" w:footer="680" w:gutter="0"/>
      <w:cols w:space="720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VhjD8rAgAAVQ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AFYYw/KwIAAFU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0" distR="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jc w:val="both"/>
                          </w:pPr>
                        </w:p>
                      </w:txbxContent>
                    </wps:txbx>
                    <wps:bodyPr vert="horz" wrap="none" lIns="0" tIns="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文本框 2" o:spid="_x0000_s1026" o:spt="1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C5dblS0AAAAAUBAAAPAAAAAAAAAAEAIAAAACIAAABkcnMvZG93bnJldi54bWxQ&#10;SwECFAAUAAAACACHTuJABEhuCcYBAACPAwAADgAAAAAAAAABACAAAAAfAQAAZHJzL2Uyb0RvYy54&#10;bWxQSwUGAAAAAAYABgBZAQAAV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jc w:val="both"/>
                    </w:pPr>
                  </w:p>
                </w:txbxContent>
              </v:textbox>
            </v:rect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15A67E"/>
    <w:multiLevelType w:val="singleLevel"/>
    <w:tmpl w:val="0015A67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053208E"/>
    <w:multiLevelType w:val="singleLevel"/>
    <w:tmpl w:val="0053208E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jBjODk3YmU2NTlkMWRiODYwMGMwOWVjODhlZWYzZDkifQ=="/>
  </w:docVars>
  <w:rsids>
    <w:rsidRoot w:val="001F191D"/>
    <w:rsid w:val="0002008A"/>
    <w:rsid w:val="0003258A"/>
    <w:rsid w:val="00057CD0"/>
    <w:rsid w:val="000D105C"/>
    <w:rsid w:val="000F6B1A"/>
    <w:rsid w:val="00153AAE"/>
    <w:rsid w:val="00160CFD"/>
    <w:rsid w:val="001B232A"/>
    <w:rsid w:val="001B28E6"/>
    <w:rsid w:val="001F191D"/>
    <w:rsid w:val="0022158B"/>
    <w:rsid w:val="002252B3"/>
    <w:rsid w:val="00260391"/>
    <w:rsid w:val="0028770D"/>
    <w:rsid w:val="004138AD"/>
    <w:rsid w:val="00435CEA"/>
    <w:rsid w:val="00530C64"/>
    <w:rsid w:val="005479C0"/>
    <w:rsid w:val="00576178"/>
    <w:rsid w:val="005A03B5"/>
    <w:rsid w:val="005B173C"/>
    <w:rsid w:val="006276F0"/>
    <w:rsid w:val="00735445"/>
    <w:rsid w:val="0074121E"/>
    <w:rsid w:val="007D0A04"/>
    <w:rsid w:val="00800D85"/>
    <w:rsid w:val="00804835"/>
    <w:rsid w:val="00823195"/>
    <w:rsid w:val="00831D76"/>
    <w:rsid w:val="00841F4F"/>
    <w:rsid w:val="0084700C"/>
    <w:rsid w:val="00875234"/>
    <w:rsid w:val="009614E8"/>
    <w:rsid w:val="0098079E"/>
    <w:rsid w:val="009B60DE"/>
    <w:rsid w:val="00A83C96"/>
    <w:rsid w:val="00AA1A31"/>
    <w:rsid w:val="00AA4FA7"/>
    <w:rsid w:val="00AB52E6"/>
    <w:rsid w:val="00AF57C3"/>
    <w:rsid w:val="00B12D03"/>
    <w:rsid w:val="00B2306D"/>
    <w:rsid w:val="00B60A62"/>
    <w:rsid w:val="00C00AE1"/>
    <w:rsid w:val="00C16647"/>
    <w:rsid w:val="00C90CA8"/>
    <w:rsid w:val="00CC2B4C"/>
    <w:rsid w:val="00DC71DB"/>
    <w:rsid w:val="00DF0BF5"/>
    <w:rsid w:val="00E507C9"/>
    <w:rsid w:val="00E63233"/>
    <w:rsid w:val="00E74CA4"/>
    <w:rsid w:val="00E81007"/>
    <w:rsid w:val="00EB3857"/>
    <w:rsid w:val="00ED76CA"/>
    <w:rsid w:val="00EE67E8"/>
    <w:rsid w:val="00F175D7"/>
    <w:rsid w:val="00FD09C6"/>
    <w:rsid w:val="00FE29C9"/>
    <w:rsid w:val="01910A08"/>
    <w:rsid w:val="01C80B54"/>
    <w:rsid w:val="03020C4E"/>
    <w:rsid w:val="04BA0275"/>
    <w:rsid w:val="04F86800"/>
    <w:rsid w:val="065F10D4"/>
    <w:rsid w:val="071B6AB4"/>
    <w:rsid w:val="07793596"/>
    <w:rsid w:val="08601134"/>
    <w:rsid w:val="0B2504C3"/>
    <w:rsid w:val="0BE04A65"/>
    <w:rsid w:val="0CDF620D"/>
    <w:rsid w:val="0E124BC8"/>
    <w:rsid w:val="0F5C08A7"/>
    <w:rsid w:val="0F9B4EDD"/>
    <w:rsid w:val="0FB07BF6"/>
    <w:rsid w:val="11CB232A"/>
    <w:rsid w:val="126D1892"/>
    <w:rsid w:val="15AB2D82"/>
    <w:rsid w:val="15DF0B7C"/>
    <w:rsid w:val="160C54D1"/>
    <w:rsid w:val="16C15493"/>
    <w:rsid w:val="18333835"/>
    <w:rsid w:val="1A736AA5"/>
    <w:rsid w:val="1C0E5478"/>
    <w:rsid w:val="1C694603"/>
    <w:rsid w:val="1C773457"/>
    <w:rsid w:val="1C962F1E"/>
    <w:rsid w:val="1CED153A"/>
    <w:rsid w:val="1F884DE0"/>
    <w:rsid w:val="1FD60EE6"/>
    <w:rsid w:val="1FDE2C12"/>
    <w:rsid w:val="204021D9"/>
    <w:rsid w:val="20F77219"/>
    <w:rsid w:val="212A1E87"/>
    <w:rsid w:val="22DD420F"/>
    <w:rsid w:val="24D577AD"/>
    <w:rsid w:val="25D0124F"/>
    <w:rsid w:val="26847EDA"/>
    <w:rsid w:val="26C62C99"/>
    <w:rsid w:val="2859060F"/>
    <w:rsid w:val="29894B58"/>
    <w:rsid w:val="29B72ED5"/>
    <w:rsid w:val="2AD53A54"/>
    <w:rsid w:val="2C283F05"/>
    <w:rsid w:val="2F4D3993"/>
    <w:rsid w:val="2FE42437"/>
    <w:rsid w:val="30A93C18"/>
    <w:rsid w:val="31434FCB"/>
    <w:rsid w:val="322A2389"/>
    <w:rsid w:val="34785602"/>
    <w:rsid w:val="35C845FA"/>
    <w:rsid w:val="36D30B9F"/>
    <w:rsid w:val="371116C7"/>
    <w:rsid w:val="376F2192"/>
    <w:rsid w:val="378E3A94"/>
    <w:rsid w:val="379629EC"/>
    <w:rsid w:val="38EE1CC0"/>
    <w:rsid w:val="3A381DA9"/>
    <w:rsid w:val="3A386636"/>
    <w:rsid w:val="3AF92B9E"/>
    <w:rsid w:val="3B47390A"/>
    <w:rsid w:val="3B6C15C2"/>
    <w:rsid w:val="3E3E23AB"/>
    <w:rsid w:val="3E9240B3"/>
    <w:rsid w:val="3F5B19F9"/>
    <w:rsid w:val="3F8A6A23"/>
    <w:rsid w:val="3FF859A7"/>
    <w:rsid w:val="41986C6D"/>
    <w:rsid w:val="455A18ED"/>
    <w:rsid w:val="45FA6E12"/>
    <w:rsid w:val="465515D1"/>
    <w:rsid w:val="465A6EBC"/>
    <w:rsid w:val="47461416"/>
    <w:rsid w:val="48CC0861"/>
    <w:rsid w:val="48F36E7F"/>
    <w:rsid w:val="495E079C"/>
    <w:rsid w:val="4A82670C"/>
    <w:rsid w:val="4ABD15F5"/>
    <w:rsid w:val="4ABD7744"/>
    <w:rsid w:val="4B4E67AD"/>
    <w:rsid w:val="4BFF6F46"/>
    <w:rsid w:val="4D754306"/>
    <w:rsid w:val="4FD251A0"/>
    <w:rsid w:val="4FD52CDA"/>
    <w:rsid w:val="502F338A"/>
    <w:rsid w:val="51D11D27"/>
    <w:rsid w:val="522B3084"/>
    <w:rsid w:val="523C3645"/>
    <w:rsid w:val="53141584"/>
    <w:rsid w:val="53B4545D"/>
    <w:rsid w:val="53F91BD6"/>
    <w:rsid w:val="54A161D0"/>
    <w:rsid w:val="57A852D8"/>
    <w:rsid w:val="57B43C7D"/>
    <w:rsid w:val="58920FA0"/>
    <w:rsid w:val="58BD4DB3"/>
    <w:rsid w:val="59DE6B7A"/>
    <w:rsid w:val="59EE16C8"/>
    <w:rsid w:val="5AC61EFB"/>
    <w:rsid w:val="5BA30291"/>
    <w:rsid w:val="5BCD3301"/>
    <w:rsid w:val="5D5E6A84"/>
    <w:rsid w:val="5DE705F3"/>
    <w:rsid w:val="5EF534F9"/>
    <w:rsid w:val="5F503303"/>
    <w:rsid w:val="5FBCA85B"/>
    <w:rsid w:val="60940AF0"/>
    <w:rsid w:val="611C3BF2"/>
    <w:rsid w:val="61642270"/>
    <w:rsid w:val="62467083"/>
    <w:rsid w:val="62710B4C"/>
    <w:rsid w:val="64E05EF4"/>
    <w:rsid w:val="654F4FE5"/>
    <w:rsid w:val="65EE2A50"/>
    <w:rsid w:val="66285F62"/>
    <w:rsid w:val="66A31A8D"/>
    <w:rsid w:val="6CAB3449"/>
    <w:rsid w:val="6CCC31F7"/>
    <w:rsid w:val="6D486EEA"/>
    <w:rsid w:val="6D54763D"/>
    <w:rsid w:val="6D877A12"/>
    <w:rsid w:val="6E90727C"/>
    <w:rsid w:val="6EE64070"/>
    <w:rsid w:val="6FE26E92"/>
    <w:rsid w:val="70EB399A"/>
    <w:rsid w:val="710A6328"/>
    <w:rsid w:val="73562C4F"/>
    <w:rsid w:val="73B77C00"/>
    <w:rsid w:val="73F55F5D"/>
    <w:rsid w:val="742B6098"/>
    <w:rsid w:val="757E27A1"/>
    <w:rsid w:val="76195D39"/>
    <w:rsid w:val="763224E5"/>
    <w:rsid w:val="76B63116"/>
    <w:rsid w:val="77EF5178"/>
    <w:rsid w:val="7971690F"/>
    <w:rsid w:val="79CB6ED9"/>
    <w:rsid w:val="7A1C5986"/>
    <w:rsid w:val="7BAF26A4"/>
    <w:rsid w:val="7C876A78"/>
    <w:rsid w:val="7D366C7B"/>
    <w:rsid w:val="7DDA1DE0"/>
    <w:rsid w:val="7E8E5C23"/>
    <w:rsid w:val="7EAB4808"/>
    <w:rsid w:val="7ECB1729"/>
    <w:rsid w:val="7FE3020F"/>
    <w:rsid w:val="F33F9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qFormat/>
    <w:uiPriority w:val="0"/>
    <w:pPr>
      <w:spacing w:line="500" w:lineRule="exact"/>
      <w:ind w:firstLine="539"/>
    </w:pPr>
    <w:rPr>
      <w:szCs w:val="21"/>
    </w:rPr>
  </w:style>
  <w:style w:type="paragraph" w:styleId="3">
    <w:name w:val="Document Map"/>
    <w:basedOn w:val="1"/>
    <w:link w:val="17"/>
    <w:qFormat/>
    <w:uiPriority w:val="0"/>
    <w:rPr>
      <w:rFonts w:ascii="Microsoft YaHei UI" w:eastAsia="Microsoft YaHei UI"/>
      <w:sz w:val="18"/>
      <w:szCs w:val="18"/>
    </w:rPr>
  </w:style>
  <w:style w:type="paragraph" w:styleId="4">
    <w:name w:val="annotation text"/>
    <w:basedOn w:val="1"/>
    <w:link w:val="23"/>
    <w:qFormat/>
    <w:uiPriority w:val="0"/>
    <w:pPr>
      <w:jc w:val="left"/>
    </w:pPr>
  </w:style>
  <w:style w:type="paragraph" w:styleId="5">
    <w:name w:val="Body Text"/>
    <w:basedOn w:val="1"/>
    <w:next w:val="1"/>
    <w:qFormat/>
    <w:uiPriority w:val="0"/>
    <w:pPr>
      <w:spacing w:after="120"/>
    </w:pPr>
    <w:rPr>
      <w:kern w:val="0"/>
      <w:sz w:val="20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Normal (Web)"/>
    <w:basedOn w:val="1"/>
    <w:qFormat/>
    <w:uiPriority w:val="99"/>
    <w:pPr>
      <w:spacing w:before="100" w:beforeAutospacing="1" w:after="100" w:afterAutospacing="1"/>
      <w:jc w:val="left"/>
    </w:pPr>
    <w:rPr>
      <w:kern w:val="0"/>
      <w:sz w:val="24"/>
    </w:rPr>
  </w:style>
  <w:style w:type="paragraph" w:styleId="9">
    <w:name w:val="annotation subject"/>
    <w:basedOn w:val="4"/>
    <w:next w:val="4"/>
    <w:link w:val="24"/>
    <w:qFormat/>
    <w:uiPriority w:val="0"/>
    <w:rPr>
      <w:b/>
      <w:bCs/>
    </w:rPr>
  </w:style>
  <w:style w:type="table" w:styleId="11">
    <w:name w:val="Table Grid"/>
    <w:basedOn w:val="10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Hyperlink"/>
    <w:basedOn w:val="12"/>
    <w:qFormat/>
    <w:uiPriority w:val="0"/>
    <w:rPr>
      <w:color w:val="0000FF"/>
      <w:u w:val="single"/>
    </w:rPr>
  </w:style>
  <w:style w:type="character" w:styleId="14">
    <w:name w:val="annotation reference"/>
    <w:basedOn w:val="12"/>
    <w:uiPriority w:val="0"/>
    <w:rPr>
      <w:sz w:val="21"/>
      <w:szCs w:val="21"/>
    </w:rPr>
  </w:style>
  <w:style w:type="paragraph" w:styleId="15">
    <w:name w:val="List Paragraph"/>
    <w:basedOn w:val="1"/>
    <w:qFormat/>
    <w:uiPriority w:val="0"/>
    <w:pPr>
      <w:ind w:firstLine="420" w:firstLineChars="200"/>
    </w:pPr>
  </w:style>
  <w:style w:type="paragraph" w:customStyle="1" w:styleId="16">
    <w:name w:val="Char1"/>
    <w:basedOn w:val="3"/>
    <w:qFormat/>
    <w:uiPriority w:val="0"/>
    <w:pPr>
      <w:shd w:val="clear" w:color="auto" w:fill="000080"/>
      <w:adjustRightInd w:val="0"/>
      <w:spacing w:line="436" w:lineRule="exact"/>
      <w:ind w:left="357"/>
      <w:jc w:val="left"/>
      <w:outlineLvl w:val="3"/>
    </w:pPr>
    <w:rPr>
      <w:rFonts w:ascii="Times New Roman" w:eastAsia="宋体"/>
      <w:sz w:val="21"/>
      <w:szCs w:val="24"/>
    </w:rPr>
  </w:style>
  <w:style w:type="character" w:customStyle="1" w:styleId="17">
    <w:name w:val="文档结构图 字符"/>
    <w:basedOn w:val="12"/>
    <w:link w:val="3"/>
    <w:qFormat/>
    <w:uiPriority w:val="0"/>
    <w:rPr>
      <w:rFonts w:ascii="Microsoft YaHei UI" w:eastAsia="Microsoft YaHei UI"/>
      <w:kern w:val="2"/>
      <w:sz w:val="18"/>
      <w:szCs w:val="18"/>
    </w:rPr>
  </w:style>
  <w:style w:type="paragraph" w:customStyle="1" w:styleId="18">
    <w:name w:val="修订1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9">
    <w:name w:val="修订2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20">
    <w:name w:val="修订3"/>
    <w:hidden/>
    <w:unhideWhenUsed/>
    <w:qFormat/>
    <w:uiPriority w:val="99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21">
    <w:name w:val="修订4"/>
    <w:hidden/>
    <w:unhideWhenUsed/>
    <w:qFormat/>
    <w:uiPriority w:val="99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22">
    <w:name w:val="Revision"/>
    <w:hidden/>
    <w:unhideWhenUsed/>
    <w:qFormat/>
    <w:uiPriority w:val="99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23">
    <w:name w:val="批注文字 字符"/>
    <w:basedOn w:val="12"/>
    <w:link w:val="4"/>
    <w:qFormat/>
    <w:uiPriority w:val="0"/>
    <w:rPr>
      <w:kern w:val="2"/>
      <w:sz w:val="21"/>
      <w:szCs w:val="24"/>
    </w:rPr>
  </w:style>
  <w:style w:type="character" w:customStyle="1" w:styleId="24">
    <w:name w:val="批注主题 字符"/>
    <w:basedOn w:val="23"/>
    <w:link w:val="9"/>
    <w:qFormat/>
    <w:uiPriority w:val="0"/>
    <w:rPr>
      <w:b/>
      <w:bCs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Windows 10</Company>
  <Pages>5</Pages>
  <Words>1879</Words>
  <Characters>2220</Characters>
  <Lines>17</Lines>
  <Paragraphs>4</Paragraphs>
  <TotalTime>2</TotalTime>
  <ScaleCrop>false</ScaleCrop>
  <LinksUpToDate>false</LinksUpToDate>
  <CharactersWithSpaces>2253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2023-10-11T10:03:00Z</dcterms:created>
  <dc:creator>37527</dc:creator>
  <cp:lastModifiedBy>.</cp:lastModifiedBy>
  <cp:lastPrinted>2023-10-25T09:31:00Z</cp:lastPrinted>
  <dcterms:modified xsi:type="dcterms:W3CDTF">2023-10-26T00:56:06Z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E4C224259D254BE88AF8F2286479DEF7_13</vt:lpwstr>
  </property>
</Properties>
</file>