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  <w:t>宁波东方理工大学(暂名)校园建设项目</w:t>
      </w: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  <w:t>永久校区</w:t>
      </w: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  <w:lang w:eastAsia="zh-CN"/>
        </w:rPr>
        <w:t>2号地块</w:t>
      </w:r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40"/>
          <w:szCs w:val="40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陶土砖</w:t>
      </w:r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40"/>
          <w:szCs w:val="40"/>
          <w:highlight w:val="none"/>
          <w14:textFill>
            <w14:solidFill>
              <w14:schemeClr w14:val="tx1"/>
            </w14:solidFill>
          </w14:textFill>
        </w:rPr>
        <w:t>采购</w:t>
      </w: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  <w:t>工程</w:t>
      </w: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4"/>
          <w:szCs w:val="44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4"/>
          <w:szCs w:val="44"/>
          <w:highlight w:val="none"/>
        </w:rPr>
        <w:t>报名公告</w:t>
      </w:r>
    </w:p>
    <w:p>
      <w:pPr>
        <w:pStyle w:val="2"/>
        <w:rPr>
          <w:b/>
          <w:color w:val="auto"/>
          <w:sz w:val="48"/>
          <w:szCs w:val="15"/>
          <w:highlight w:val="none"/>
        </w:rPr>
      </w:pPr>
    </w:p>
    <w:p>
      <w:pPr>
        <w:pStyle w:val="2"/>
        <w:rPr>
          <w:b/>
          <w:color w:val="auto"/>
          <w:sz w:val="48"/>
          <w:szCs w:val="15"/>
          <w:highlight w:val="none"/>
        </w:rPr>
      </w:pPr>
    </w:p>
    <w:p>
      <w:pPr>
        <w:pStyle w:val="2"/>
        <w:jc w:val="distribute"/>
        <w:rPr>
          <w:b/>
          <w:color w:val="auto"/>
          <w:sz w:val="48"/>
          <w:szCs w:val="15"/>
          <w:highlight w:val="none"/>
        </w:rPr>
      </w:pPr>
    </w:p>
    <w:p>
      <w:pPr>
        <w:pStyle w:val="2"/>
        <w:rPr>
          <w:b/>
          <w:color w:val="auto"/>
          <w:sz w:val="48"/>
          <w:szCs w:val="15"/>
          <w:highlight w:val="none"/>
        </w:rPr>
      </w:pPr>
    </w:p>
    <w:p>
      <w:pPr>
        <w:pStyle w:val="2"/>
        <w:rPr>
          <w:b/>
          <w:color w:val="auto"/>
          <w:sz w:val="48"/>
          <w:szCs w:val="15"/>
          <w:highlight w:val="none"/>
        </w:rPr>
      </w:pPr>
    </w:p>
    <w:p>
      <w:pPr>
        <w:pStyle w:val="2"/>
        <w:rPr>
          <w:b/>
          <w:color w:val="auto"/>
          <w:sz w:val="48"/>
          <w:szCs w:val="15"/>
          <w:highlight w:val="none"/>
        </w:rPr>
      </w:pPr>
    </w:p>
    <w:p>
      <w:pPr>
        <w:pStyle w:val="2"/>
        <w:rPr>
          <w:b/>
          <w:color w:val="auto"/>
          <w:sz w:val="48"/>
          <w:szCs w:val="15"/>
          <w:highlight w:val="none"/>
        </w:rPr>
      </w:pPr>
    </w:p>
    <w:p>
      <w:pPr>
        <w:pStyle w:val="2"/>
        <w:rPr>
          <w:b/>
          <w:color w:val="auto"/>
          <w:sz w:val="48"/>
          <w:szCs w:val="15"/>
          <w:highlight w:val="none"/>
        </w:rPr>
      </w:pPr>
    </w:p>
    <w:p>
      <w:pPr>
        <w:pStyle w:val="2"/>
        <w:rPr>
          <w:b/>
          <w:color w:val="auto"/>
          <w:sz w:val="48"/>
          <w:szCs w:val="15"/>
          <w:highlight w:val="none"/>
        </w:rPr>
      </w:pPr>
    </w:p>
    <w:p>
      <w:pPr>
        <w:pStyle w:val="2"/>
        <w:rPr>
          <w:b/>
          <w:color w:val="auto"/>
          <w:sz w:val="48"/>
          <w:szCs w:val="15"/>
          <w:highlight w:val="none"/>
        </w:rPr>
      </w:pPr>
    </w:p>
    <w:p>
      <w:pPr>
        <w:pStyle w:val="2"/>
        <w:rPr>
          <w:b/>
          <w:color w:val="auto"/>
          <w:sz w:val="48"/>
          <w:szCs w:val="15"/>
          <w:highlight w:val="none"/>
        </w:rPr>
      </w:pPr>
    </w:p>
    <w:p>
      <w:pPr>
        <w:snapToGrid w:val="0"/>
        <w:spacing w:before="156" w:beforeLines="50" w:line="360" w:lineRule="auto"/>
        <w:ind w:firstLine="1400" w:firstLineChars="500"/>
        <w:rPr>
          <w:color w:val="auto"/>
          <w:sz w:val="28"/>
          <w:szCs w:val="28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</w:rPr>
        <w:t xml:space="preserve">采购人名称：宁波东方理工大学(暂名)   </w:t>
      </w:r>
    </w:p>
    <w:p>
      <w:pPr>
        <w:snapToGrid w:val="0"/>
        <w:spacing w:before="156" w:beforeLines="50" w:line="360" w:lineRule="auto"/>
        <w:jc w:val="center"/>
        <w:rPr>
          <w:color w:val="auto"/>
          <w:sz w:val="28"/>
          <w:szCs w:val="28"/>
          <w:highlight w:val="none"/>
        </w:rPr>
      </w:pPr>
    </w:p>
    <w:p>
      <w:pPr>
        <w:snapToGrid w:val="0"/>
        <w:spacing w:before="156" w:beforeLines="50" w:line="360" w:lineRule="auto"/>
        <w:ind w:firstLine="1400" w:firstLineChars="500"/>
        <w:rPr>
          <w:color w:val="auto"/>
          <w:sz w:val="28"/>
          <w:szCs w:val="28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</w:rPr>
        <w:t>代建人名称：深圳市润置城市建设管理有限公司</w:t>
      </w:r>
    </w:p>
    <w:p>
      <w:pPr>
        <w:pStyle w:val="15"/>
        <w:ind w:firstLine="0" w:firstLineChars="0"/>
        <w:rPr>
          <w:color w:val="auto"/>
          <w:sz w:val="28"/>
          <w:szCs w:val="28"/>
          <w:highlight w:val="none"/>
        </w:rPr>
      </w:pPr>
    </w:p>
    <w:p>
      <w:pPr>
        <w:snapToGrid w:val="0"/>
        <w:spacing w:before="156" w:beforeLines="50" w:line="360" w:lineRule="auto"/>
        <w:jc w:val="center"/>
        <w:rPr>
          <w:b/>
          <w:color w:val="auto"/>
          <w:sz w:val="48"/>
          <w:szCs w:val="15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</w:rPr>
        <w:t xml:space="preserve"> 202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4</w:t>
      </w:r>
      <w:r>
        <w:rPr>
          <w:rFonts w:hint="eastAsia"/>
          <w:color w:val="auto"/>
          <w:sz w:val="28"/>
          <w:szCs w:val="28"/>
          <w:highlight w:val="none"/>
        </w:rPr>
        <w:t xml:space="preserve"> 年  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hint="eastAsia"/>
          <w:color w:val="auto"/>
          <w:sz w:val="28"/>
          <w:szCs w:val="28"/>
          <w:highlight w:val="none"/>
        </w:rPr>
        <w:t xml:space="preserve">  月</w:t>
      </w:r>
    </w:p>
    <w:p>
      <w:pPr>
        <w:spacing w:after="120" w:line="480" w:lineRule="auto"/>
        <w:ind w:firstLine="440" w:firstLineChars="100"/>
        <w:jc w:val="center"/>
        <w:rPr>
          <w:b/>
          <w:color w:val="auto"/>
          <w:sz w:val="44"/>
          <w:szCs w:val="44"/>
          <w:highlight w:val="none"/>
        </w:rPr>
      </w:pPr>
    </w:p>
    <w:p>
      <w:pPr>
        <w:pStyle w:val="2"/>
        <w:rPr>
          <w:color w:val="auto"/>
          <w:highlight w:val="none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  <w:t>宁波东方理工大学(暂名)校园建设项目</w:t>
      </w:r>
    </w:p>
    <w:p>
      <w:pPr>
        <w:jc w:val="center"/>
        <w:rPr>
          <w:rFonts w:asciiTheme="majorEastAsia" w:hAnsiTheme="majorEastAsia" w:eastAsiaTheme="majorEastAsia" w:cstheme="majorEastAsia"/>
          <w:b/>
          <w:color w:val="auto"/>
          <w:kern w:val="0"/>
          <w:sz w:val="40"/>
          <w:szCs w:val="40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  <w:t>永久校区</w:t>
      </w: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  <w:lang w:eastAsia="zh-CN"/>
        </w:rPr>
        <w:t>2号地块（</w:t>
      </w: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  <w:lang w:val="en-US" w:eastAsia="zh-CN"/>
        </w:rPr>
        <w:t>核心区、理工组团</w:t>
      </w: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  <w:lang w:eastAsia="zh-CN"/>
        </w:rPr>
        <w:t>）陶土砖</w:t>
      </w:r>
      <w:r>
        <w:rPr>
          <w:rFonts w:hint="eastAsia" w:asciiTheme="majorEastAsia" w:hAnsiTheme="majorEastAsia" w:eastAsiaTheme="majorEastAsia" w:cstheme="majorEastAsia"/>
          <w:b/>
          <w:color w:val="auto"/>
          <w:sz w:val="40"/>
          <w:szCs w:val="40"/>
          <w:highlight w:val="none"/>
        </w:rPr>
        <w:t>采购工程</w:t>
      </w:r>
    </w:p>
    <w:p>
      <w:pPr>
        <w:pStyle w:val="8"/>
        <w:widowControl/>
        <w:spacing w:before="0" w:beforeAutospacing="0" w:after="0" w:afterAutospacing="0" w:line="480" w:lineRule="auto"/>
        <w:jc w:val="center"/>
        <w:rPr>
          <w:rFonts w:asciiTheme="majorEastAsia" w:hAnsiTheme="majorEastAsia" w:eastAsiaTheme="majorEastAsia" w:cstheme="majorEastAsia"/>
          <w:b/>
          <w:color w:val="auto"/>
          <w:sz w:val="44"/>
          <w:szCs w:val="44"/>
          <w:highlight w:val="none"/>
        </w:rPr>
      </w:pPr>
      <w:r>
        <w:rPr>
          <w:rFonts w:hint="eastAsia" w:asciiTheme="majorEastAsia" w:hAnsiTheme="majorEastAsia" w:eastAsiaTheme="majorEastAsia" w:cstheme="majorEastAsia"/>
          <w:b/>
          <w:color w:val="auto"/>
          <w:sz w:val="44"/>
          <w:szCs w:val="44"/>
          <w:highlight w:val="none"/>
        </w:rPr>
        <w:t>报名公告</w:t>
      </w:r>
    </w:p>
    <w:p>
      <w:pPr>
        <w:pStyle w:val="2"/>
        <w:ind w:firstLine="0"/>
        <w:rPr>
          <w:b/>
          <w:color w:val="auto"/>
          <w:sz w:val="48"/>
          <w:szCs w:val="15"/>
          <w:highlight w:val="none"/>
        </w:rPr>
      </w:pPr>
    </w:p>
    <w:p>
      <w:pPr>
        <w:pStyle w:val="8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jc w:val="both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项目名称：宁波东方理工大学(暂名)校园建设项目永久校区</w:t>
      </w:r>
      <w:r>
        <w:rPr>
          <w:rFonts w:hint="eastAsia"/>
          <w:color w:val="auto"/>
          <w:highlight w:val="none"/>
          <w:lang w:eastAsia="zh-CN"/>
        </w:rPr>
        <w:t>2号地块（</w:t>
      </w:r>
      <w:r>
        <w:rPr>
          <w:rFonts w:hint="eastAsia"/>
          <w:color w:val="auto"/>
          <w:highlight w:val="none"/>
          <w:lang w:val="en-US" w:eastAsia="zh-CN"/>
        </w:rPr>
        <w:t>核心区、理工组团</w:t>
      </w:r>
      <w:r>
        <w:rPr>
          <w:rFonts w:hint="eastAsia"/>
          <w:color w:val="auto"/>
          <w:highlight w:val="none"/>
          <w:lang w:eastAsia="zh-CN"/>
        </w:rPr>
        <w:t>）陶土砖</w:t>
      </w:r>
      <w:r>
        <w:rPr>
          <w:rFonts w:hint="eastAsia"/>
          <w:color w:val="auto"/>
          <w:highlight w:val="none"/>
        </w:rPr>
        <w:t>采购工程。</w:t>
      </w:r>
    </w:p>
    <w:p>
      <w:pPr>
        <w:pStyle w:val="8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jc w:val="both"/>
        <w:rPr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项目概况：宁波东方理工大学</w:t>
      </w:r>
      <w:r>
        <w:rPr>
          <w:rFonts w:ascii="宋体" w:hAnsi="宋体" w:cs="宋体"/>
          <w:color w:val="auto"/>
          <w:highlight w:val="none"/>
        </w:rPr>
        <w:t>(暂名)校园建设项目永久校区</w:t>
      </w:r>
      <w:r>
        <w:rPr>
          <w:rFonts w:hint="eastAsia" w:ascii="宋体" w:hAnsi="宋体" w:cs="宋体"/>
          <w:color w:val="auto"/>
          <w:highlight w:val="none"/>
          <w:lang w:eastAsia="zh-CN"/>
        </w:rPr>
        <w:t>2号地块</w:t>
      </w:r>
      <w:r>
        <w:rPr>
          <w:rFonts w:hint="eastAsia"/>
          <w:color w:val="auto"/>
          <w:highlight w:val="none"/>
          <w:lang w:eastAsia="zh-CN"/>
        </w:rPr>
        <w:t>（</w:t>
      </w:r>
      <w:r>
        <w:rPr>
          <w:rFonts w:hint="eastAsia"/>
          <w:color w:val="auto"/>
          <w:highlight w:val="none"/>
          <w:lang w:val="en-US" w:eastAsia="zh-CN"/>
        </w:rPr>
        <w:t>核心区、理工组团</w:t>
      </w:r>
      <w:r>
        <w:rPr>
          <w:rFonts w:hint="eastAsia"/>
          <w:color w:val="auto"/>
          <w:highlight w:val="none"/>
          <w:lang w:eastAsia="zh-CN"/>
        </w:rPr>
        <w:t>）</w:t>
      </w:r>
      <w:r>
        <w:rPr>
          <w:rFonts w:hint="eastAsia" w:ascii="宋体" w:hAnsi="宋体" w:cs="宋体"/>
          <w:color w:val="auto"/>
          <w:highlight w:val="none"/>
        </w:rPr>
        <w:t>位于宁波市镇海区清水浦片区，北临风华路，南至滨江路，东至宁波绕城高速。</w:t>
      </w:r>
    </w:p>
    <w:p>
      <w:pPr>
        <w:pStyle w:val="8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jc w:val="both"/>
        <w:rPr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采购范围：宁波东方理工大学</w:t>
      </w:r>
      <w:r>
        <w:rPr>
          <w:rFonts w:ascii="宋体" w:hAnsi="宋体" w:cs="宋体"/>
          <w:color w:val="auto"/>
          <w:highlight w:val="none"/>
        </w:rPr>
        <w:t>(暂名)校园建设项目永久校区</w:t>
      </w:r>
      <w:r>
        <w:rPr>
          <w:rFonts w:hint="eastAsia" w:ascii="宋体" w:hAnsi="宋体" w:cs="宋体"/>
          <w:color w:val="auto"/>
          <w:highlight w:val="none"/>
          <w:lang w:eastAsia="zh-CN"/>
        </w:rPr>
        <w:t>2号地块</w:t>
      </w:r>
      <w:r>
        <w:rPr>
          <w:rFonts w:hint="eastAsia"/>
          <w:color w:val="auto"/>
          <w:highlight w:val="none"/>
          <w:lang w:eastAsia="zh-CN"/>
        </w:rPr>
        <w:t>（</w:t>
      </w:r>
      <w:r>
        <w:rPr>
          <w:rFonts w:hint="eastAsia"/>
          <w:color w:val="auto"/>
          <w:highlight w:val="none"/>
          <w:lang w:val="en-US" w:eastAsia="zh-CN"/>
        </w:rPr>
        <w:t>核心区、理工组团</w:t>
      </w:r>
      <w:r>
        <w:rPr>
          <w:rFonts w:hint="eastAsia"/>
          <w:color w:val="auto"/>
          <w:highlight w:val="none"/>
          <w:lang w:eastAsia="zh-CN"/>
        </w:rPr>
        <w:t>）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陶土砖及陶土砖贴片的供应。</w:t>
      </w:r>
    </w:p>
    <w:p>
      <w:pPr>
        <w:pStyle w:val="8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rPr>
          <w:rFonts w:ascii="宋体" w:hAnsi="宋体" w:cs="宋体"/>
          <w:color w:val="auto"/>
          <w:highlight w:val="none"/>
        </w:rPr>
      </w:pPr>
      <w:r>
        <w:rPr>
          <w:color w:val="auto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33655</wp:posOffset>
            </wp:positionH>
            <wp:positionV relativeFrom="paragraph">
              <wp:posOffset>146685</wp:posOffset>
            </wp:positionV>
            <wp:extent cx="5687695" cy="2131695"/>
            <wp:effectExtent l="0" t="0" r="8255" b="1905"/>
            <wp:wrapTopAndBottom/>
            <wp:docPr id="1900387440" name="图片 1900387440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87440" name="图片 1900387440" descr="地图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rcRect t="23691" b="6906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auto"/>
          <w:highlight w:val="none"/>
        </w:rPr>
        <w:t>工期要求：</w:t>
      </w:r>
    </w:p>
    <w:p>
      <w:pPr>
        <w:pStyle w:val="8"/>
        <w:widowControl/>
        <w:numPr>
          <w:ilvl w:val="0"/>
          <w:numId w:val="0"/>
        </w:numPr>
        <w:spacing w:before="0" w:beforeAutospacing="0" w:after="0" w:afterAutospacing="0" w:line="480" w:lineRule="auto"/>
        <w:ind w:left="520" w:leftChars="0"/>
        <w:rPr>
          <w:rFonts w:hint="default" w:ascii="宋体" w:hAnsi="宋体" w:eastAsia="宋体" w:cs="宋体"/>
          <w:color w:val="auto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预计供货时间为2024年5月15日，具体以采购人、代建人书面通知为准。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交货周期：合同签订、接采购人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下单</w:t>
      </w:r>
      <w:r>
        <w:rPr>
          <w:rFonts w:hint="eastAsia" w:ascii="宋体" w:hAnsi="宋体" w:cs="宋体"/>
          <w:color w:val="auto"/>
          <w:highlight w:val="none"/>
        </w:rPr>
        <w:t>通知后</w:t>
      </w:r>
      <w:r>
        <w:rPr>
          <w:rFonts w:hint="eastAsia" w:ascii="宋体" w:hAnsi="宋体" w:cs="宋体"/>
          <w:color w:val="auto"/>
          <w:highlight w:val="none"/>
          <w:lang w:eastAsia="zh-CN"/>
        </w:rPr>
        <w:t>，</w:t>
      </w:r>
      <w:r>
        <w:rPr>
          <w:rFonts w:ascii="宋体" w:hAnsi="宋体" w:cs="宋体"/>
          <w:color w:val="auto"/>
          <w:highlight w:val="none"/>
        </w:rPr>
        <w:t xml:space="preserve"> 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28</w:t>
      </w:r>
      <w:r>
        <w:rPr>
          <w:rFonts w:hint="eastAsia" w:ascii="宋体" w:hAnsi="宋体" w:cs="宋体"/>
          <w:color w:val="auto"/>
          <w:highlight w:val="none"/>
        </w:rPr>
        <w:t>日历天内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运送材料至项目指定地点（即</w:t>
      </w:r>
      <w:r>
        <w:rPr>
          <w:rFonts w:hint="eastAsia" w:ascii="宋体" w:hAnsi="宋体" w:cs="宋体"/>
          <w:color w:val="auto"/>
          <w:highlight w:val="none"/>
        </w:rPr>
        <w:t>宁波东方理工大学（暂名）工地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现场），随车携带产品检测报告及合格证等相关资料，经相关单位验收合格后进行指定点卸货完成</w:t>
      </w:r>
      <w:r>
        <w:rPr>
          <w:rFonts w:hint="eastAsia" w:ascii="宋体" w:hAnsi="宋体" w:cs="宋体"/>
          <w:color w:val="auto"/>
          <w:highlight w:val="none"/>
        </w:rPr>
        <w:t>；</w:t>
      </w:r>
    </w:p>
    <w:p>
      <w:pPr>
        <w:pStyle w:val="8"/>
        <w:widowControl/>
        <w:numPr>
          <w:ilvl w:val="0"/>
          <w:numId w:val="1"/>
        </w:numPr>
        <w:spacing w:before="0" w:beforeAutospacing="0" w:after="0" w:afterAutospacing="0" w:line="480" w:lineRule="auto"/>
        <w:ind w:left="40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潜在的报名方资格及提交资料：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报名方具有独立的法人资格，具备有效的营业执照（提供公司营业执照等相关复印件），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日产量</w:t>
      </w:r>
      <w:r>
        <w:rPr>
          <w:rFonts w:hint="eastAsia" w:ascii="宋体" w:hAnsi="宋体" w:cs="宋体"/>
          <w:color w:val="auto"/>
          <w:highlight w:val="none"/>
          <w:u w:val="single"/>
          <w:lang w:val="en-US" w:eastAsia="zh-CN"/>
        </w:rPr>
        <w:t xml:space="preserve"> 10万块 </w:t>
      </w:r>
      <w:r>
        <w:rPr>
          <w:rFonts w:hint="eastAsia" w:ascii="宋体" w:hAnsi="宋体" w:cs="宋体"/>
          <w:color w:val="auto"/>
          <w:highlight w:val="none"/>
        </w:rPr>
        <w:t>以上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的陶土砖</w:t>
      </w:r>
      <w:r>
        <w:rPr>
          <w:rFonts w:hint="eastAsia" w:ascii="宋体" w:hAnsi="宋体" w:cs="宋体"/>
          <w:color w:val="auto"/>
          <w:highlight w:val="none"/>
        </w:rPr>
        <w:t>制造厂。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资质要求：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firstLine="480" w:firstLineChars="200"/>
        <w:textAlignment w:val="auto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  <w:lang w:val="en-US" w:eastAsia="zh-CN"/>
        </w:rPr>
        <w:t>1</w:t>
      </w:r>
      <w:r>
        <w:rPr>
          <w:rFonts w:hint="eastAsia" w:ascii="宋体" w:hAnsi="宋体" w:cs="宋体"/>
          <w:color w:val="auto"/>
          <w:highlight w:val="none"/>
        </w:rPr>
        <w:t>）报名方应已取得 ISO9000 系列质量管理体系认证。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公司业绩要求：报名方最近五年内(201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9</w:t>
      </w:r>
      <w:r>
        <w:rPr>
          <w:rFonts w:hint="eastAsia" w:ascii="宋体" w:hAnsi="宋体" w:cs="宋体"/>
          <w:color w:val="auto"/>
          <w:highlight w:val="none"/>
        </w:rPr>
        <w:t>年1月1日至今)应在中国境内承接过1~3项类似项目(单个合同金额不低于人民币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5</w:t>
      </w:r>
      <w:r>
        <w:rPr>
          <w:rFonts w:hint="eastAsia" w:ascii="宋体" w:hAnsi="宋体" w:cs="宋体"/>
          <w:color w:val="auto"/>
          <w:highlight w:val="none"/>
        </w:rPr>
        <w:t>00万元)，以上业绩须提供用户的书面证明材料。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拟派项目团队要求：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需要拟派1名专业人员长期驻场，对所供应陶土砖质量进行见证，材料分色进行管理并参与施工单位对陶土砖损耗的管理工作。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近三年（20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21</w:t>
      </w:r>
      <w:r>
        <w:rPr>
          <w:rFonts w:hint="eastAsia" w:ascii="宋体" w:hAnsi="宋体" w:cs="宋体"/>
          <w:color w:val="auto"/>
          <w:highlight w:val="none"/>
        </w:rPr>
        <w:t>-202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3</w:t>
      </w:r>
      <w:r>
        <w:rPr>
          <w:rFonts w:hint="eastAsia" w:ascii="宋体" w:hAnsi="宋体" w:cs="宋体"/>
          <w:color w:val="auto"/>
          <w:highlight w:val="none"/>
        </w:rPr>
        <w:t>年）经第三方审计的财务报告，营业额及资产负债率情况。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报名方的信用情况；报名方、法定代表人、项目负责人未被“信用中国”列入严重失信主体名单和“信用中国（浙江）”列入黑名单。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在“信用中国”网站(www.creditchina.gov.cn)的信用记录网页截图证明加盖公章(报名时提供失信被执行人、重大税收违法失信主体和政府采购严重 违法失信行为记录名单查询页面截图，截图须附系统时间，日期为报名公告发布之日后)。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本项目不接受联合体报名。</w:t>
      </w:r>
    </w:p>
    <w:p>
      <w:pPr>
        <w:pStyle w:val="8"/>
        <w:widowControl/>
        <w:numPr>
          <w:ilvl w:val="0"/>
          <w:numId w:val="2"/>
        </w:numPr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报名方认为有必要的其他资料。</w:t>
      </w:r>
    </w:p>
    <w:p>
      <w:pPr>
        <w:pStyle w:val="8"/>
        <w:widowControl/>
        <w:spacing w:before="0" w:beforeAutospacing="0" w:after="0" w:afterAutospacing="0" w:line="480" w:lineRule="auto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 xml:space="preserve">    10. 报名资料需编制目录索引。</w:t>
      </w:r>
    </w:p>
    <w:p>
      <w:pPr>
        <w:pStyle w:val="8"/>
        <w:widowControl/>
        <w:spacing w:before="0" w:beforeAutospacing="0" w:after="0" w:afterAutospacing="0" w:line="480" w:lineRule="auto"/>
        <w:ind w:left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11. 本项目不接受存在控股关系的两家及以上单位同时报名。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12. 学校保留要求各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报名</w:t>
      </w:r>
      <w:r>
        <w:rPr>
          <w:rFonts w:hint="eastAsia" w:ascii="宋体" w:hAnsi="宋体" w:cs="宋体"/>
          <w:color w:val="auto"/>
          <w:highlight w:val="none"/>
        </w:rPr>
        <w:t>单位提供其他资料的权利。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b/>
          <w:bCs/>
          <w:color w:val="auto"/>
          <w:highlight w:val="none"/>
        </w:rPr>
        <w:t>请报名方认真对照资格条件，如不符合要求的，无意或故意参与报名，经评审发现的则取消报名方资格；评审过程中，报名方提供的相关证件为虚假或伪造，或者其他人员持法定代表人或授权委托人的身份证参与报名，一经发现亦取消报名方资格，且所产生的一切后果由报名方自行承担。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六、报名保证金的缴纳：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 xml:space="preserve">金额：人民币 </w:t>
      </w:r>
      <w:r>
        <w:rPr>
          <w:rFonts w:hint="eastAsia" w:ascii="宋体" w:hAnsi="宋体" w:cs="宋体"/>
          <w:b/>
          <w:bCs/>
          <w:color w:val="auto"/>
          <w:highlight w:val="none"/>
        </w:rPr>
        <w:t>壹万元</w:t>
      </w:r>
      <w:r>
        <w:rPr>
          <w:rFonts w:hint="eastAsia" w:ascii="宋体" w:hAnsi="宋体" w:cs="宋体"/>
          <w:color w:val="auto"/>
          <w:highlight w:val="none"/>
        </w:rPr>
        <w:t>整</w:t>
      </w:r>
      <w:r>
        <w:rPr>
          <w:rFonts w:ascii="宋体" w:hAnsi="宋体" w:cs="宋体"/>
          <w:color w:val="auto"/>
          <w:highlight w:val="none"/>
        </w:rPr>
        <w:t>。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>通过供应商的基本账户以银行转账方式缴入以下账户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 xml:space="preserve">账户名：深圳市润置城市建设管理有限公司 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>开户行：交通银行深圳分行营业部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>银行账号：443066285013006976000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hint="default" w:ascii="宋体" w:hAnsi="宋体" w:eastAsia="宋体" w:cs="宋体"/>
          <w:color w:val="auto"/>
          <w:highlight w:val="none"/>
          <w:lang w:val="en-US" w:eastAsia="zh-CN"/>
        </w:rPr>
      </w:pPr>
      <w:r>
        <w:rPr>
          <w:rFonts w:ascii="宋体" w:hAnsi="宋体" w:cs="宋体"/>
          <w:color w:val="auto"/>
          <w:highlight w:val="none"/>
        </w:rPr>
        <w:t>提交截止时间：</w:t>
      </w:r>
      <w:r>
        <w:rPr>
          <w:rFonts w:ascii="宋体" w:hAnsi="宋体" w:cs="宋体"/>
          <w:b/>
          <w:bCs/>
          <w:color w:val="auto"/>
          <w:highlight w:val="none"/>
        </w:rPr>
        <w:t>202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>4</w:t>
      </w:r>
      <w:r>
        <w:rPr>
          <w:rFonts w:ascii="宋体" w:hAnsi="宋体" w:cs="宋体"/>
          <w:b/>
          <w:bCs/>
          <w:color w:val="auto"/>
          <w:highlight w:val="none"/>
        </w:rPr>
        <w:t>年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 2</w:t>
      </w:r>
      <w:r>
        <w:rPr>
          <w:rFonts w:ascii="宋体" w:hAnsi="宋体" w:cs="宋体"/>
          <w:b/>
          <w:bCs/>
          <w:color w:val="auto"/>
          <w:highlight w:val="none"/>
        </w:rPr>
        <w:t>月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 23</w:t>
      </w:r>
      <w:r>
        <w:rPr>
          <w:rFonts w:ascii="宋体" w:hAnsi="宋体" w:cs="宋体"/>
          <w:b/>
          <w:bCs/>
          <w:color w:val="auto"/>
          <w:highlight w:val="none"/>
        </w:rPr>
        <w:t>日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 12:00</w:t>
      </w:r>
    </w:p>
    <w:p>
      <w:pPr>
        <w:pStyle w:val="8"/>
        <w:widowControl/>
        <w:spacing w:before="0" w:beforeAutospacing="0" w:after="0" w:afterAutospacing="0" w:line="480" w:lineRule="auto"/>
        <w:ind w:firstLine="482"/>
        <w:rPr>
          <w:rFonts w:ascii="宋体" w:hAnsi="宋体" w:cs="宋体"/>
          <w:color w:val="auto"/>
          <w:highlight w:val="none"/>
        </w:rPr>
      </w:pPr>
      <w:r>
        <w:rPr>
          <w:rFonts w:ascii="宋体" w:hAnsi="宋体" w:cs="宋体"/>
          <w:color w:val="auto"/>
          <w:highlight w:val="none"/>
        </w:rPr>
        <w:t>（北京时间，以资金到达上述账户时间为准。同时需将缴纳</w:t>
      </w:r>
      <w:r>
        <w:rPr>
          <w:rFonts w:hint="eastAsia" w:ascii="宋体" w:hAnsi="宋体" w:cs="宋体"/>
          <w:color w:val="auto"/>
          <w:highlight w:val="none"/>
          <w:lang w:val="en-US" w:eastAsia="zh-CN"/>
        </w:rPr>
        <w:t>报名</w:t>
      </w:r>
      <w:r>
        <w:rPr>
          <w:rFonts w:ascii="宋体" w:hAnsi="宋体" w:cs="宋体"/>
          <w:color w:val="auto"/>
          <w:highlight w:val="none"/>
        </w:rPr>
        <w:t>保证金的付款凭证发送到邮箱CRLD_NBDFLGHY_ZY@crland.com.cn）</w:t>
      </w:r>
    </w:p>
    <w:p>
      <w:pPr>
        <w:pStyle w:val="8"/>
        <w:widowControl/>
        <w:spacing w:before="0" w:beforeAutospacing="0" w:after="0" w:afterAutospacing="0" w:line="480" w:lineRule="auto"/>
        <w:ind w:left="2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七、报名文件接收：</w:t>
      </w:r>
    </w:p>
    <w:p>
      <w:pPr>
        <w:pStyle w:val="8"/>
        <w:widowControl/>
        <w:spacing w:before="0" w:beforeAutospacing="0" w:after="0" w:afterAutospacing="0" w:line="480" w:lineRule="auto"/>
        <w:ind w:left="2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1、凡符合报名资格要求并有意参加者，请于</w:t>
      </w:r>
      <w:r>
        <w:rPr>
          <w:rFonts w:hint="eastAsia" w:ascii="宋体" w:hAnsi="宋体" w:cs="宋体"/>
          <w:b/>
          <w:bCs/>
          <w:color w:val="auto"/>
          <w:highlight w:val="none"/>
        </w:rPr>
        <w:t>202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>4</w:t>
      </w:r>
      <w:r>
        <w:rPr>
          <w:rFonts w:hint="eastAsia" w:ascii="宋体" w:hAnsi="宋体" w:cs="宋体"/>
          <w:b/>
          <w:bCs/>
          <w:color w:val="auto"/>
          <w:highlight w:val="none"/>
        </w:rPr>
        <w:t xml:space="preserve">年 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>2</w:t>
      </w:r>
      <w:r>
        <w:rPr>
          <w:rFonts w:hint="eastAsia" w:ascii="宋体" w:hAnsi="宋体" w:cs="宋体"/>
          <w:b/>
          <w:bCs/>
          <w:color w:val="auto"/>
          <w:highlight w:val="none"/>
        </w:rPr>
        <w:t xml:space="preserve"> 月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23</w:t>
      </w:r>
      <w:r>
        <w:rPr>
          <w:rFonts w:hint="eastAsia" w:ascii="宋体" w:hAnsi="宋体" w:cs="宋体"/>
          <w:b/>
          <w:bCs/>
          <w:color w:val="auto"/>
          <w:highlight w:val="none"/>
        </w:rPr>
        <w:t>日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>12:00</w:t>
      </w:r>
      <w:r>
        <w:rPr>
          <w:rFonts w:hint="eastAsia" w:ascii="宋体" w:hAnsi="宋体" w:cs="宋体"/>
          <w:color w:val="auto"/>
          <w:highlight w:val="none"/>
        </w:rPr>
        <w:t xml:space="preserve"> 前至宁波市镇海区同心路568号开元新青年广场2号楼三层递交报名文件（纸质版一式三份，电子版一份，电子版需提供可编辑Word版及PDF盖章版扫描件</w:t>
      </w:r>
      <w:bookmarkStart w:id="0" w:name="_GoBack"/>
      <w:bookmarkEnd w:id="0"/>
      <w:r>
        <w:rPr>
          <w:rFonts w:hint="eastAsia" w:ascii="宋体" w:hAnsi="宋体" w:cs="宋体"/>
          <w:color w:val="auto"/>
          <w:highlight w:val="none"/>
        </w:rPr>
        <w:t>）。</w:t>
      </w:r>
    </w:p>
    <w:p>
      <w:pPr>
        <w:pStyle w:val="8"/>
        <w:widowControl/>
        <w:spacing w:before="0" w:beforeAutospacing="0" w:after="0" w:afterAutospacing="0" w:line="480" w:lineRule="auto"/>
        <w:ind w:left="2"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2、本次报名公告发布在宁波东方理工大学（暂名）（https://www.eitech.edu.cn）、中国招标投标公共服务平台（http://www.cebpubservice.com/），报名文件可从宁波东方理工大学（暂名）（https://www.eitech.edu.cn）下载获取。</w:t>
      </w:r>
    </w:p>
    <w:p>
      <w:pPr>
        <w:pStyle w:val="8"/>
        <w:widowControl/>
        <w:wordWrap w:val="0"/>
        <w:spacing w:before="0" w:beforeAutospacing="0" w:after="0" w:afterAutospacing="0" w:line="480" w:lineRule="auto"/>
        <w:ind w:left="0" w:firstLine="482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3、有关本次报名的事项若存在变动或修改，敬请及时关注宁波东方理工大学（暂名）（https://www.eitech.edu.cn）、中国招标投标公共服务平台（http://www.cebpubservice.com/）发布的信息更正公告，恕不另行通知，如有遗漏采购人概不负责。</w:t>
      </w:r>
    </w:p>
    <w:p>
      <w:pPr>
        <w:pStyle w:val="8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八、报名文件接收截止时间：</w:t>
      </w:r>
      <w:r>
        <w:rPr>
          <w:rFonts w:hint="eastAsia" w:ascii="宋体" w:hAnsi="宋体" w:cs="宋体"/>
          <w:b/>
          <w:bCs/>
          <w:color w:val="auto"/>
          <w:highlight w:val="none"/>
        </w:rPr>
        <w:t>202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>4</w:t>
      </w:r>
      <w:r>
        <w:rPr>
          <w:rFonts w:hint="eastAsia" w:ascii="宋体" w:hAnsi="宋体" w:cs="宋体"/>
          <w:b/>
          <w:bCs/>
          <w:color w:val="auto"/>
          <w:highlight w:val="none"/>
        </w:rPr>
        <w:t>年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2</w:t>
      </w:r>
      <w:r>
        <w:rPr>
          <w:rFonts w:hint="eastAsia" w:ascii="宋体" w:hAnsi="宋体" w:cs="宋体"/>
          <w:b/>
          <w:bCs/>
          <w:color w:val="auto"/>
          <w:highlight w:val="none"/>
        </w:rPr>
        <w:t>月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 23</w:t>
      </w:r>
      <w:r>
        <w:rPr>
          <w:rFonts w:hint="eastAsia" w:ascii="宋体" w:hAnsi="宋体" w:cs="宋体"/>
          <w:b/>
          <w:bCs/>
          <w:color w:val="auto"/>
          <w:highlight w:val="none"/>
        </w:rPr>
        <w:t>日</w:t>
      </w:r>
      <w:r>
        <w:rPr>
          <w:rFonts w:hint="eastAsia" w:ascii="宋体" w:hAnsi="宋体" w:cs="宋体"/>
          <w:b/>
          <w:bCs/>
          <w:color w:val="auto"/>
          <w:highlight w:val="none"/>
          <w:lang w:val="en-US" w:eastAsia="zh-CN"/>
        </w:rPr>
        <w:t xml:space="preserve">12:00  </w:t>
      </w:r>
      <w:r>
        <w:rPr>
          <w:rFonts w:hint="eastAsia" w:ascii="宋体" w:hAnsi="宋体" w:cs="宋体"/>
          <w:color w:val="auto"/>
          <w:highlight w:val="none"/>
        </w:rPr>
        <w:t>。</w:t>
      </w:r>
    </w:p>
    <w:p>
      <w:pPr>
        <w:pStyle w:val="8"/>
        <w:widowControl/>
        <w:spacing w:before="0" w:beforeAutospacing="0" w:after="0" w:afterAutospacing="0" w:line="480" w:lineRule="auto"/>
        <w:ind w:firstLine="480"/>
        <w:rPr>
          <w:rFonts w:ascii="宋体" w:hAnsi="宋体" w:cs="宋体"/>
          <w:color w:val="auto"/>
          <w:highlight w:val="none"/>
        </w:rPr>
      </w:pPr>
      <w:r>
        <w:rPr>
          <w:rFonts w:hint="eastAsia" w:ascii="宋体" w:hAnsi="宋体" w:cs="宋体"/>
          <w:color w:val="auto"/>
          <w:highlight w:val="none"/>
        </w:rPr>
        <w:t>八、联系方式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采 购 人：宁波东方理工大学（暂名）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联 系 人：徐老师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联系电话：13656581969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代建单位：深圳市润置城市建设管理有限公司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hint="eastAsia" w:ascii="宋体" w:hAnsi="宋体" w:eastAsia="宋体" w:cs="宋体"/>
          <w:bCs/>
          <w:color w:val="auto"/>
          <w:highlight w:val="none"/>
          <w:lang w:eastAsia="zh-CN"/>
        </w:rPr>
      </w:pPr>
      <w:r>
        <w:rPr>
          <w:rFonts w:hint="eastAsia" w:ascii="宋体" w:hAnsi="宋体" w:cs="宋体"/>
          <w:bCs/>
          <w:color w:val="auto"/>
          <w:highlight w:val="none"/>
        </w:rPr>
        <w:t>联 系 人：</w:t>
      </w:r>
      <w:r>
        <w:rPr>
          <w:rFonts w:hint="eastAsia" w:ascii="宋体" w:hAnsi="宋体" w:cs="宋体"/>
          <w:bCs/>
          <w:color w:val="auto"/>
          <w:highlight w:val="none"/>
          <w:lang w:val="en-US" w:eastAsia="zh-CN"/>
        </w:rPr>
        <w:t>陈于书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联系电话：15700169233</w:t>
      </w:r>
    </w:p>
    <w:p>
      <w:pPr>
        <w:pStyle w:val="8"/>
        <w:widowControl/>
        <w:spacing w:before="0" w:beforeAutospacing="0" w:after="0" w:afterAutospacing="0" w:line="480" w:lineRule="auto"/>
        <w:ind w:firstLine="480" w:firstLineChars="200"/>
        <w:rPr>
          <w:rFonts w:ascii="宋体" w:hAnsi="宋体" w:cs="宋体"/>
          <w:bCs/>
          <w:color w:val="auto"/>
          <w:highlight w:val="none"/>
        </w:rPr>
      </w:pPr>
      <w:r>
        <w:rPr>
          <w:rFonts w:hint="eastAsia" w:ascii="宋体" w:hAnsi="宋体" w:cs="宋体"/>
          <w:bCs/>
          <w:color w:val="auto"/>
          <w:highlight w:val="none"/>
        </w:rPr>
        <w:t>地 址：宁波市镇海区同心路568号开元新青年广场2号楼3层</w:t>
      </w:r>
    </w:p>
    <w:sectPr>
      <w:footerReference r:id="rId3" w:type="default"/>
      <w:pgSz w:w="11906" w:h="16838"/>
      <w:pgMar w:top="986" w:right="1230" w:bottom="930" w:left="1344" w:header="737" w:footer="680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  <w:jc w:val="both"/>
                          </w:pP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2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ARIbgnGAQAAjwMAAA4AAABkcnMvZTJvRG9jLnhtbK1TS27bMBDdF+gd&#10;CO5ryV4UhmA5CGAkKFC0AdIegKYoiwB/mKEtuQdob9BVN933XD5Hh5TkBOkmi26oGQ755r3H0eZm&#10;sIadFKD2rubLRcmZctI32h1q/vXL3bs1ZxiFa4TxTtX8rJDfbN++2fShUivfedMoYATisOpDzbsY&#10;Q1UUKDtlBS58UI6KrQcrIqVwKBoQPaFbU6zK8n3Re2gCeKkQaXc3FvmECK8B9G2rpdp5ebTKxREV&#10;lBGRJGGnA/JtZtu2SsbPbYsqMlNzUhrzSk0o3qe12G5EdQAROi0nCuI1FF5oskI7anqF2oko2BH0&#10;P1BWS/Do27iQ3hajkOwIqViWL7x57ERQWQtZjeFqOv4/WPnp9ABMNzQJnDlh6cEvP39cfv25/P7O&#10;VsmePmBFpx7DA0wZUpi0Di3Y9CUVbMiWnq+WqiEySZvL9Wq9LsltSbU5IZzi6XoAjPfKW5aCmgO9&#10;WbZSnD5iHI/OR1I349Lq/J02ZqymnSLRHImlKA77YWK7982ZJNLEE3jn4RtnPb13zR2NN2fmgyM7&#10;02jMAczBfg6Ek3Sx5iMvDLfHSO0zt9Rs7DBxoHfK6qaZSoPwPM+nnv6j7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5dblS0AAAAAUBAAAPAAAAAAAAAAEAIAAAACIAAABkcnMvZG93bnJldi54bWxQ&#10;SwECFAAUAAAACACHTuJABEhuCcYBAACPAwAADgAAAAAAAAABACAAAAAf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jc w:val="both"/>
                    </w:pPr>
                  </w:p>
                </w:txbxContent>
              </v:textbox>
            </v:rect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15A67E"/>
    <w:multiLevelType w:val="singleLevel"/>
    <w:tmpl w:val="0015A67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53208E"/>
    <w:multiLevelType w:val="singleLevel"/>
    <w:tmpl w:val="0053208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FiYjZkYjM2OGNlMDA1YTk3ZWM1NjRmYmI2ZjYyZjQifQ=="/>
  </w:docVars>
  <w:rsids>
    <w:rsidRoot w:val="001F191D"/>
    <w:rsid w:val="0002008A"/>
    <w:rsid w:val="0003258A"/>
    <w:rsid w:val="00057CD0"/>
    <w:rsid w:val="000D105C"/>
    <w:rsid w:val="000F6B1A"/>
    <w:rsid w:val="00153AAE"/>
    <w:rsid w:val="00160CFD"/>
    <w:rsid w:val="001B232A"/>
    <w:rsid w:val="001B28E6"/>
    <w:rsid w:val="001F191D"/>
    <w:rsid w:val="0022158B"/>
    <w:rsid w:val="002252B3"/>
    <w:rsid w:val="00260391"/>
    <w:rsid w:val="0028770D"/>
    <w:rsid w:val="004138AD"/>
    <w:rsid w:val="00435CEA"/>
    <w:rsid w:val="00530C64"/>
    <w:rsid w:val="005479C0"/>
    <w:rsid w:val="00576178"/>
    <w:rsid w:val="005A03B5"/>
    <w:rsid w:val="005B173C"/>
    <w:rsid w:val="006276F0"/>
    <w:rsid w:val="00735445"/>
    <w:rsid w:val="0074121E"/>
    <w:rsid w:val="007D0A04"/>
    <w:rsid w:val="00800D85"/>
    <w:rsid w:val="00804835"/>
    <w:rsid w:val="00823195"/>
    <w:rsid w:val="00831D76"/>
    <w:rsid w:val="00841F4F"/>
    <w:rsid w:val="0084700C"/>
    <w:rsid w:val="00875234"/>
    <w:rsid w:val="009614E8"/>
    <w:rsid w:val="0098079E"/>
    <w:rsid w:val="009B60DE"/>
    <w:rsid w:val="00A83C96"/>
    <w:rsid w:val="00AA1A31"/>
    <w:rsid w:val="00AA4FA7"/>
    <w:rsid w:val="00AB52E6"/>
    <w:rsid w:val="00AF57C3"/>
    <w:rsid w:val="00B12D03"/>
    <w:rsid w:val="00B2306D"/>
    <w:rsid w:val="00B60A62"/>
    <w:rsid w:val="00C00AE1"/>
    <w:rsid w:val="00C16647"/>
    <w:rsid w:val="00C90CA8"/>
    <w:rsid w:val="00CC2B4C"/>
    <w:rsid w:val="00DC71DB"/>
    <w:rsid w:val="00DF0BF5"/>
    <w:rsid w:val="00E507C9"/>
    <w:rsid w:val="00E63233"/>
    <w:rsid w:val="00E74CA4"/>
    <w:rsid w:val="00E81007"/>
    <w:rsid w:val="00EB3857"/>
    <w:rsid w:val="00ED76CA"/>
    <w:rsid w:val="00EE67E8"/>
    <w:rsid w:val="00F175D7"/>
    <w:rsid w:val="00FD09C6"/>
    <w:rsid w:val="00FE29C9"/>
    <w:rsid w:val="01910A08"/>
    <w:rsid w:val="01C80B54"/>
    <w:rsid w:val="03020C4E"/>
    <w:rsid w:val="04BA0275"/>
    <w:rsid w:val="04F86800"/>
    <w:rsid w:val="065F10D4"/>
    <w:rsid w:val="071B6AB4"/>
    <w:rsid w:val="07793596"/>
    <w:rsid w:val="08601134"/>
    <w:rsid w:val="0B2504C3"/>
    <w:rsid w:val="0B36617C"/>
    <w:rsid w:val="0BE04A65"/>
    <w:rsid w:val="0CDF620D"/>
    <w:rsid w:val="0E124BC8"/>
    <w:rsid w:val="0F5C08A7"/>
    <w:rsid w:val="0F9B4EDD"/>
    <w:rsid w:val="0FB07BF6"/>
    <w:rsid w:val="11620B23"/>
    <w:rsid w:val="11CB232A"/>
    <w:rsid w:val="126D1892"/>
    <w:rsid w:val="14E229D1"/>
    <w:rsid w:val="15AB2D82"/>
    <w:rsid w:val="15DF0B7C"/>
    <w:rsid w:val="160C54D1"/>
    <w:rsid w:val="16C15493"/>
    <w:rsid w:val="18333835"/>
    <w:rsid w:val="1A736AA5"/>
    <w:rsid w:val="1C0E5478"/>
    <w:rsid w:val="1C694603"/>
    <w:rsid w:val="1C773457"/>
    <w:rsid w:val="1C962F1E"/>
    <w:rsid w:val="1CED153A"/>
    <w:rsid w:val="1F884DE0"/>
    <w:rsid w:val="1FD60EE6"/>
    <w:rsid w:val="1FDE2C12"/>
    <w:rsid w:val="20111181"/>
    <w:rsid w:val="204021D9"/>
    <w:rsid w:val="206B405C"/>
    <w:rsid w:val="20F77219"/>
    <w:rsid w:val="212A1E87"/>
    <w:rsid w:val="22DD420F"/>
    <w:rsid w:val="24D577AD"/>
    <w:rsid w:val="25D0124F"/>
    <w:rsid w:val="26847EDA"/>
    <w:rsid w:val="26C62C99"/>
    <w:rsid w:val="27C603EC"/>
    <w:rsid w:val="2859060F"/>
    <w:rsid w:val="29894B58"/>
    <w:rsid w:val="29B72ED5"/>
    <w:rsid w:val="2AD53A54"/>
    <w:rsid w:val="2C283F05"/>
    <w:rsid w:val="2F4D3993"/>
    <w:rsid w:val="2FE42437"/>
    <w:rsid w:val="30A93C18"/>
    <w:rsid w:val="31434FCB"/>
    <w:rsid w:val="322A2389"/>
    <w:rsid w:val="34785602"/>
    <w:rsid w:val="35C845FA"/>
    <w:rsid w:val="36D30B9F"/>
    <w:rsid w:val="371116C7"/>
    <w:rsid w:val="376F2192"/>
    <w:rsid w:val="378E3A94"/>
    <w:rsid w:val="379629EC"/>
    <w:rsid w:val="38EE1CC0"/>
    <w:rsid w:val="3A381DA9"/>
    <w:rsid w:val="3A386636"/>
    <w:rsid w:val="3AF92B9E"/>
    <w:rsid w:val="3B47390A"/>
    <w:rsid w:val="3B6C15C2"/>
    <w:rsid w:val="3E3E23AB"/>
    <w:rsid w:val="3E9240B3"/>
    <w:rsid w:val="3F5B19F9"/>
    <w:rsid w:val="3F8A6A23"/>
    <w:rsid w:val="3FF859A7"/>
    <w:rsid w:val="40552625"/>
    <w:rsid w:val="41986C6D"/>
    <w:rsid w:val="42D2478B"/>
    <w:rsid w:val="44DB0663"/>
    <w:rsid w:val="455A18ED"/>
    <w:rsid w:val="45FA6E12"/>
    <w:rsid w:val="465515D1"/>
    <w:rsid w:val="465A6EBC"/>
    <w:rsid w:val="47461416"/>
    <w:rsid w:val="48CC0861"/>
    <w:rsid w:val="48F36E7F"/>
    <w:rsid w:val="495E079C"/>
    <w:rsid w:val="4A82670C"/>
    <w:rsid w:val="4ABD15F5"/>
    <w:rsid w:val="4ABD7744"/>
    <w:rsid w:val="4B4E67AD"/>
    <w:rsid w:val="4BFF6F46"/>
    <w:rsid w:val="4D754306"/>
    <w:rsid w:val="4FD251A0"/>
    <w:rsid w:val="4FD52CDA"/>
    <w:rsid w:val="502F338A"/>
    <w:rsid w:val="51D11D27"/>
    <w:rsid w:val="522B3084"/>
    <w:rsid w:val="523C3645"/>
    <w:rsid w:val="52C32770"/>
    <w:rsid w:val="53141584"/>
    <w:rsid w:val="53B4545D"/>
    <w:rsid w:val="53F91BD6"/>
    <w:rsid w:val="54A161D0"/>
    <w:rsid w:val="57A852D8"/>
    <w:rsid w:val="57B43C7D"/>
    <w:rsid w:val="58920FA0"/>
    <w:rsid w:val="58BD4DB3"/>
    <w:rsid w:val="59DE6B7A"/>
    <w:rsid w:val="59EE16C8"/>
    <w:rsid w:val="5AC61EFB"/>
    <w:rsid w:val="5BA30291"/>
    <w:rsid w:val="5BCD3301"/>
    <w:rsid w:val="5D5E6A84"/>
    <w:rsid w:val="5DE705F3"/>
    <w:rsid w:val="5EF534F9"/>
    <w:rsid w:val="5F503303"/>
    <w:rsid w:val="5FBCA85B"/>
    <w:rsid w:val="60940AF0"/>
    <w:rsid w:val="611C3BF2"/>
    <w:rsid w:val="61642270"/>
    <w:rsid w:val="619A72B0"/>
    <w:rsid w:val="62467083"/>
    <w:rsid w:val="62710B4C"/>
    <w:rsid w:val="64E05EF4"/>
    <w:rsid w:val="654F4FE5"/>
    <w:rsid w:val="65EE2A50"/>
    <w:rsid w:val="66285F62"/>
    <w:rsid w:val="66A31A8D"/>
    <w:rsid w:val="6AAA104D"/>
    <w:rsid w:val="6CAB3449"/>
    <w:rsid w:val="6CCC31F7"/>
    <w:rsid w:val="6D486EEA"/>
    <w:rsid w:val="6D54763D"/>
    <w:rsid w:val="6D877A12"/>
    <w:rsid w:val="6E90727C"/>
    <w:rsid w:val="6EE64070"/>
    <w:rsid w:val="6FE26E92"/>
    <w:rsid w:val="70EB399A"/>
    <w:rsid w:val="710A6328"/>
    <w:rsid w:val="72112E43"/>
    <w:rsid w:val="73562C4F"/>
    <w:rsid w:val="73B77C00"/>
    <w:rsid w:val="73F55F5D"/>
    <w:rsid w:val="742B6098"/>
    <w:rsid w:val="757E27A1"/>
    <w:rsid w:val="76195D39"/>
    <w:rsid w:val="763224E5"/>
    <w:rsid w:val="76B63116"/>
    <w:rsid w:val="77EF5178"/>
    <w:rsid w:val="7971690F"/>
    <w:rsid w:val="79CB6ED9"/>
    <w:rsid w:val="7A1C5986"/>
    <w:rsid w:val="7BAF26A4"/>
    <w:rsid w:val="7C876A78"/>
    <w:rsid w:val="7D366C7B"/>
    <w:rsid w:val="7D38224D"/>
    <w:rsid w:val="7DDA1DE0"/>
    <w:rsid w:val="7E8E5C23"/>
    <w:rsid w:val="7EAB4808"/>
    <w:rsid w:val="7ECB1729"/>
    <w:rsid w:val="7F6E2028"/>
    <w:rsid w:val="7FE3020F"/>
    <w:rsid w:val="F33F9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autoRedefine/>
    <w:qFormat/>
    <w:uiPriority w:val="0"/>
    <w:pPr>
      <w:spacing w:line="500" w:lineRule="exact"/>
      <w:ind w:firstLine="539"/>
    </w:pPr>
    <w:rPr>
      <w:szCs w:val="21"/>
    </w:rPr>
  </w:style>
  <w:style w:type="paragraph" w:styleId="3">
    <w:name w:val="Document Map"/>
    <w:basedOn w:val="1"/>
    <w:link w:val="17"/>
    <w:autoRedefine/>
    <w:qFormat/>
    <w:uiPriority w:val="0"/>
    <w:rPr>
      <w:rFonts w:ascii="Microsoft YaHei UI" w:eastAsia="Microsoft YaHei UI"/>
      <w:sz w:val="18"/>
      <w:szCs w:val="18"/>
    </w:rPr>
  </w:style>
  <w:style w:type="paragraph" w:styleId="4">
    <w:name w:val="annotation text"/>
    <w:basedOn w:val="1"/>
    <w:link w:val="23"/>
    <w:autoRedefine/>
    <w:qFormat/>
    <w:uiPriority w:val="0"/>
    <w:pPr>
      <w:jc w:val="left"/>
    </w:pPr>
  </w:style>
  <w:style w:type="paragraph" w:styleId="5">
    <w:name w:val="Body Text"/>
    <w:basedOn w:val="1"/>
    <w:next w:val="1"/>
    <w:autoRedefine/>
    <w:qFormat/>
    <w:uiPriority w:val="0"/>
    <w:pPr>
      <w:spacing w:after="120"/>
    </w:pPr>
    <w:rPr>
      <w:kern w:val="0"/>
      <w:sz w:val="20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autoRedefine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9">
    <w:name w:val="annotation subject"/>
    <w:basedOn w:val="4"/>
    <w:next w:val="4"/>
    <w:link w:val="24"/>
    <w:autoRedefine/>
    <w:qFormat/>
    <w:uiPriority w:val="0"/>
    <w:rPr>
      <w:b/>
      <w:bCs/>
    </w:rPr>
  </w:style>
  <w:style w:type="table" w:styleId="11">
    <w:name w:val="Table Grid"/>
    <w:basedOn w:val="10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autoRedefine/>
    <w:qFormat/>
    <w:uiPriority w:val="0"/>
    <w:rPr>
      <w:color w:val="0000FF"/>
      <w:u w:val="single"/>
    </w:rPr>
  </w:style>
  <w:style w:type="character" w:styleId="14">
    <w:name w:val="annotation reference"/>
    <w:basedOn w:val="12"/>
    <w:autoRedefine/>
    <w:qFormat/>
    <w:uiPriority w:val="0"/>
    <w:rPr>
      <w:sz w:val="21"/>
      <w:szCs w:val="21"/>
    </w:rPr>
  </w:style>
  <w:style w:type="paragraph" w:styleId="15">
    <w:name w:val="List Paragraph"/>
    <w:basedOn w:val="1"/>
    <w:autoRedefine/>
    <w:qFormat/>
    <w:uiPriority w:val="0"/>
    <w:pPr>
      <w:ind w:firstLine="420" w:firstLineChars="200"/>
    </w:pPr>
  </w:style>
  <w:style w:type="paragraph" w:customStyle="1" w:styleId="16">
    <w:name w:val="Char1"/>
    <w:basedOn w:val="3"/>
    <w:autoRedefine/>
    <w:qFormat/>
    <w:uiPriority w:val="0"/>
    <w:pPr>
      <w:shd w:val="clear" w:color="auto" w:fill="000080"/>
      <w:adjustRightInd w:val="0"/>
      <w:spacing w:line="436" w:lineRule="exact"/>
      <w:ind w:left="357"/>
      <w:jc w:val="left"/>
      <w:outlineLvl w:val="3"/>
    </w:pPr>
    <w:rPr>
      <w:rFonts w:ascii="Times New Roman" w:eastAsia="宋体"/>
      <w:sz w:val="21"/>
      <w:szCs w:val="24"/>
    </w:rPr>
  </w:style>
  <w:style w:type="character" w:customStyle="1" w:styleId="17">
    <w:name w:val="文档结构图 字符"/>
    <w:basedOn w:val="12"/>
    <w:link w:val="3"/>
    <w:autoRedefine/>
    <w:qFormat/>
    <w:uiPriority w:val="0"/>
    <w:rPr>
      <w:rFonts w:ascii="Microsoft YaHei UI" w:eastAsia="Microsoft YaHei UI"/>
      <w:kern w:val="2"/>
      <w:sz w:val="18"/>
      <w:szCs w:val="18"/>
    </w:rPr>
  </w:style>
  <w:style w:type="paragraph" w:customStyle="1" w:styleId="18">
    <w:name w:val="修订1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9">
    <w:name w:val="修订2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0">
    <w:name w:val="修订3"/>
    <w:autoRedefine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1">
    <w:name w:val="修订4"/>
    <w:autoRedefine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2">
    <w:name w:val="Revision"/>
    <w:autoRedefine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3">
    <w:name w:val="批注文字 字符"/>
    <w:basedOn w:val="12"/>
    <w:link w:val="4"/>
    <w:autoRedefine/>
    <w:qFormat/>
    <w:uiPriority w:val="0"/>
    <w:rPr>
      <w:kern w:val="2"/>
      <w:sz w:val="21"/>
      <w:szCs w:val="24"/>
    </w:rPr>
  </w:style>
  <w:style w:type="character" w:customStyle="1" w:styleId="24">
    <w:name w:val="批注主题 字符"/>
    <w:basedOn w:val="23"/>
    <w:link w:val="9"/>
    <w:autoRedefine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Windows 10</Company>
  <Pages>5</Pages>
  <Words>1879</Words>
  <Characters>2220</Characters>
  <Lines>17</Lines>
  <Paragraphs>4</Paragraphs>
  <TotalTime>13</TotalTime>
  <ScaleCrop>false</ScaleCrop>
  <LinksUpToDate>false</LinksUpToDate>
  <CharactersWithSpaces>2253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2023-10-11T10:03:00Z</dcterms:created>
  <dc:creator>37527</dc:creator>
  <cp:lastModifiedBy>.</cp:lastModifiedBy>
  <cp:lastPrinted>2023-10-25T09:31:00Z</cp:lastPrinted>
  <dcterms:modified xsi:type="dcterms:W3CDTF">2024-02-06T02:45:03Z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33A51F1A5EC143AAA839E1D1FDCCF56B_13</vt:lpwstr>
  </property>
</Properties>
</file>