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20"/>
        <w:jc w:val="center"/>
        <w:rPr>
          <w:b/>
          <w:sz w:val="48"/>
          <w:szCs w:val="15"/>
          <w:highlight w:val="none"/>
        </w:rPr>
      </w:pPr>
    </w:p>
    <w:p>
      <w:pPr>
        <w:pStyle w:val="5"/>
        <w:rPr>
          <w:b/>
          <w:sz w:val="48"/>
          <w:szCs w:val="15"/>
          <w:highlight w:val="none"/>
        </w:rPr>
      </w:pPr>
    </w:p>
    <w:p>
      <w:pPr>
        <w:pStyle w:val="5"/>
        <w:rPr>
          <w:b/>
          <w:sz w:val="48"/>
          <w:szCs w:val="15"/>
          <w:highlight w:val="none"/>
        </w:rPr>
      </w:pPr>
    </w:p>
    <w:p>
      <w:pPr>
        <w:shd w:val="clear"/>
        <w:spacing w:line="480" w:lineRule="auto"/>
        <w:jc w:val="center"/>
        <w:rPr>
          <w:rFonts w:hint="eastAsia"/>
          <w:b/>
          <w:sz w:val="48"/>
          <w:szCs w:val="15"/>
          <w:highlight w:val="none"/>
        </w:rPr>
      </w:pPr>
      <w:r>
        <w:rPr>
          <w:rFonts w:hint="eastAsia"/>
          <w:b/>
          <w:sz w:val="48"/>
          <w:szCs w:val="15"/>
          <w:highlight w:val="none"/>
        </w:rPr>
        <w:t>宁波东方理工大学(暂名)校园建设项目永久校区</w:t>
      </w:r>
      <w:r>
        <w:rPr>
          <w:rFonts w:hint="eastAsia"/>
          <w:b/>
          <w:sz w:val="48"/>
          <w:szCs w:val="15"/>
          <w:highlight w:val="none"/>
          <w:lang w:val="en-US" w:eastAsia="zh-CN"/>
        </w:rPr>
        <w:t>绿化景观专业分包工程</w:t>
      </w:r>
    </w:p>
    <w:p>
      <w:pPr>
        <w:shd w:val="clear"/>
        <w:spacing w:line="480" w:lineRule="auto"/>
        <w:jc w:val="center"/>
        <w:rPr>
          <w:rFonts w:ascii="宋体" w:hAnsi="宋体" w:cs="宋体"/>
          <w:b/>
          <w:sz w:val="44"/>
          <w:szCs w:val="44"/>
          <w:highlight w:val="none"/>
        </w:rPr>
      </w:pPr>
    </w:p>
    <w:p>
      <w:pPr>
        <w:shd w:val="clear"/>
        <w:spacing w:line="480" w:lineRule="auto"/>
        <w:jc w:val="center"/>
        <w:rPr>
          <w:rFonts w:ascii="宋体" w:hAnsi="宋体" w:cs="宋体"/>
          <w:b/>
          <w:sz w:val="44"/>
          <w:szCs w:val="44"/>
          <w:highlight w:val="none"/>
        </w:rPr>
      </w:pPr>
      <w:r>
        <w:rPr>
          <w:rFonts w:hint="eastAsia" w:ascii="宋体" w:hAnsi="宋体" w:cs="宋体"/>
          <w:b/>
          <w:sz w:val="44"/>
          <w:szCs w:val="44"/>
          <w:highlight w:val="none"/>
        </w:rPr>
        <w:t>报名公告</w:t>
      </w: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pStyle w:val="5"/>
        <w:shd w:val="clear"/>
        <w:rPr>
          <w:b/>
          <w:sz w:val="48"/>
          <w:szCs w:val="15"/>
          <w:highlight w:val="none"/>
        </w:rPr>
      </w:pPr>
    </w:p>
    <w:p>
      <w:pPr>
        <w:shd w:val="clear"/>
        <w:snapToGrid w:val="0"/>
        <w:spacing w:before="156" w:beforeLines="50" w:line="360" w:lineRule="auto"/>
        <w:ind w:firstLine="1400" w:firstLineChars="500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采购人名称：宁波东方理工大学(暂名)   </w:t>
      </w:r>
    </w:p>
    <w:p>
      <w:pPr>
        <w:shd w:val="clear"/>
        <w:snapToGrid w:val="0"/>
        <w:spacing w:before="156" w:beforeLines="50" w:line="360" w:lineRule="auto"/>
        <w:jc w:val="center"/>
        <w:rPr>
          <w:sz w:val="28"/>
          <w:szCs w:val="28"/>
          <w:highlight w:val="none"/>
        </w:rPr>
      </w:pPr>
    </w:p>
    <w:p>
      <w:pPr>
        <w:shd w:val="clear"/>
        <w:snapToGrid w:val="0"/>
        <w:spacing w:before="156" w:beforeLines="50" w:line="360" w:lineRule="auto"/>
        <w:ind w:firstLine="1400" w:firstLineChars="500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>代建人名称：深圳市润置城市建设管理有限公司</w:t>
      </w:r>
    </w:p>
    <w:p>
      <w:pPr>
        <w:pStyle w:val="12"/>
        <w:shd w:val="clear"/>
        <w:ind w:firstLine="0" w:firstLineChars="0"/>
        <w:rPr>
          <w:sz w:val="28"/>
          <w:szCs w:val="28"/>
          <w:highlight w:val="none"/>
        </w:rPr>
      </w:pPr>
    </w:p>
    <w:p>
      <w:pPr>
        <w:shd w:val="clear"/>
        <w:snapToGrid w:val="0"/>
        <w:spacing w:before="156" w:beforeLines="50" w:line="360" w:lineRule="auto"/>
        <w:jc w:val="center"/>
        <w:rPr>
          <w:b/>
          <w:sz w:val="44"/>
          <w:szCs w:val="44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 202</w:t>
      </w:r>
      <w:r>
        <w:rPr>
          <w:rFonts w:hint="eastAsia"/>
          <w:sz w:val="28"/>
          <w:szCs w:val="28"/>
          <w:highlight w:val="none"/>
          <w:lang w:val="en-US" w:eastAsia="zh-CN"/>
        </w:rPr>
        <w:t>4</w:t>
      </w:r>
      <w:r>
        <w:rPr>
          <w:rFonts w:hint="eastAsia"/>
          <w:sz w:val="28"/>
          <w:szCs w:val="28"/>
          <w:highlight w:val="none"/>
        </w:rPr>
        <w:t xml:space="preserve"> 年  </w:t>
      </w:r>
      <w:r>
        <w:rPr>
          <w:rFonts w:hint="eastAsia"/>
          <w:sz w:val="28"/>
          <w:szCs w:val="28"/>
          <w:highlight w:val="none"/>
          <w:lang w:val="en-US" w:eastAsia="zh-CN"/>
        </w:rPr>
        <w:t>06</w:t>
      </w:r>
      <w:r>
        <w:rPr>
          <w:rFonts w:hint="eastAsia"/>
          <w:sz w:val="28"/>
          <w:szCs w:val="28"/>
          <w:highlight w:val="none"/>
        </w:rPr>
        <w:t xml:space="preserve">  月</w:t>
      </w:r>
    </w:p>
    <w:p>
      <w:pPr>
        <w:pStyle w:val="5"/>
        <w:shd w:val="clear"/>
        <w:rPr>
          <w:highlight w:val="none"/>
        </w:rPr>
      </w:pPr>
    </w:p>
    <w:p>
      <w:pPr>
        <w:shd w:val="clear"/>
        <w:spacing w:after="120" w:line="480" w:lineRule="auto"/>
        <w:ind w:firstLine="723" w:firstLineChars="200"/>
        <w:jc w:val="center"/>
        <w:rPr>
          <w:b/>
          <w:sz w:val="36"/>
          <w:szCs w:val="36"/>
          <w:highlight w:val="none"/>
        </w:rPr>
        <w:sectPr>
          <w:footerReference r:id="rId3" w:type="default"/>
          <w:pgSz w:w="11906" w:h="16838"/>
          <w:pgMar w:top="760" w:right="1800" w:bottom="760" w:left="1800" w:header="737" w:footer="397" w:gutter="0"/>
          <w:pgNumType w:start="0"/>
          <w:cols w:space="720" w:num="1"/>
          <w:docGrid w:type="lines" w:linePitch="312" w:charSpace="0"/>
        </w:sectPr>
      </w:pPr>
    </w:p>
    <w:p>
      <w:pPr>
        <w:pStyle w:val="8"/>
        <w:widowControl/>
        <w:shd w:val="clear"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sz w:val="44"/>
          <w:szCs w:val="44"/>
          <w:highlight w:val="none"/>
        </w:rPr>
      </w:pPr>
    </w:p>
    <w:p>
      <w:pPr>
        <w:pStyle w:val="8"/>
        <w:widowControl/>
        <w:shd w:val="clear"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sz w:val="44"/>
          <w:szCs w:val="44"/>
          <w:highlight w:val="none"/>
        </w:rPr>
        <w:t>宁波东方理工大学(暂名)校园建设项目永久校</w:t>
      </w: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区</w:t>
      </w: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  <w:lang w:val="en-US" w:eastAsia="zh-CN"/>
        </w:rPr>
        <w:t>绿化景观专业分包工程</w:t>
      </w:r>
    </w:p>
    <w:p>
      <w:pPr>
        <w:pStyle w:val="8"/>
        <w:widowControl/>
        <w:shd w:val="clear"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报名公告</w:t>
      </w:r>
    </w:p>
    <w:p>
      <w:pPr>
        <w:pStyle w:val="8"/>
        <w:widowControl/>
        <w:shd w:val="clear"/>
        <w:spacing w:before="0" w:beforeAutospacing="0" w:after="0" w:afterAutospacing="0" w:line="480" w:lineRule="auto"/>
        <w:ind w:firstLine="720" w:firstLineChars="300"/>
        <w:rPr>
          <w:rFonts w:ascii="宋体" w:hAnsi="宋体" w:cs="宋体"/>
          <w:color w:val="auto"/>
          <w:highlight w:val="none"/>
          <w:u w:val="single"/>
        </w:rPr>
      </w:pPr>
    </w:p>
    <w:p>
      <w:pPr>
        <w:pStyle w:val="8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color w:val="auto"/>
          <w:highlight w:val="none"/>
          <w:u w:val="single"/>
        </w:rPr>
      </w:pPr>
      <w:r>
        <w:rPr>
          <w:rFonts w:hint="eastAsia" w:ascii="宋体" w:hAnsi="宋体" w:cs="宋体"/>
          <w:color w:val="auto"/>
          <w:highlight w:val="none"/>
          <w:u w:val="single"/>
        </w:rPr>
        <w:t>深圳市润置城市建设管理有限公司</w:t>
      </w:r>
      <w:r>
        <w:rPr>
          <w:rFonts w:hint="eastAsia" w:ascii="宋体" w:hAnsi="宋体" w:cs="宋体"/>
          <w:color w:val="auto"/>
          <w:highlight w:val="none"/>
        </w:rPr>
        <w:t>（以下称代建人）受</w:t>
      </w:r>
      <w:r>
        <w:rPr>
          <w:rFonts w:hint="eastAsia" w:ascii="宋体" w:hAnsi="宋体" w:cs="宋体"/>
          <w:color w:val="auto"/>
          <w:highlight w:val="none"/>
          <w:u w:val="single"/>
        </w:rPr>
        <w:t>宁波东方理工大学(暂名)</w:t>
      </w:r>
      <w:r>
        <w:rPr>
          <w:rFonts w:hint="eastAsia" w:ascii="宋体" w:hAnsi="宋体" w:cs="宋体"/>
          <w:color w:val="auto"/>
          <w:highlight w:val="none"/>
        </w:rPr>
        <w:t xml:space="preserve"> （以下称采购人）的委托，就</w:t>
      </w:r>
      <w:r>
        <w:rPr>
          <w:rFonts w:hint="eastAsia" w:ascii="宋体" w:hAnsi="宋体" w:cs="宋体"/>
          <w:color w:val="auto"/>
          <w:highlight w:val="none"/>
          <w:u w:val="single"/>
        </w:rPr>
        <w:t>宁波东方理工大学(暂名)校园建设项目永久校区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>绿化景观专业分包工程</w:t>
      </w:r>
      <w:r>
        <w:rPr>
          <w:rFonts w:hint="eastAsia" w:ascii="宋体" w:hAnsi="宋体" w:cs="宋体"/>
          <w:color w:val="auto"/>
          <w:highlight w:val="none"/>
        </w:rPr>
        <w:t>组织公开报名，诚邀符合条件的潜在承包单位参加报名，择优邀请参与投标。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color w:val="auto"/>
          <w:highlight w:val="none"/>
          <w:u w:val="single"/>
        </w:rPr>
      </w:pPr>
      <w:r>
        <w:rPr>
          <w:rFonts w:hint="eastAsia" w:ascii="宋体" w:hAnsi="宋体" w:cs="宋体"/>
          <w:color w:val="auto"/>
          <w:highlight w:val="none"/>
          <w:u w:val="single"/>
        </w:rPr>
        <w:t>项目名称：宁波东方理工大学(暂名)校园建设项目永久校区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>绿化景观专业分包工程</w:t>
      </w:r>
      <w:r>
        <w:rPr>
          <w:rFonts w:hint="eastAsia" w:ascii="宋体" w:hAnsi="宋体" w:cs="宋体"/>
          <w:color w:val="auto"/>
          <w:highlight w:val="none"/>
          <w:u w:val="single"/>
          <w:lang w:eastAsia="zh-CN"/>
        </w:rPr>
        <w:t>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项目概况：本工程位于宁波市镇海区清水浦片区，校园北临风华路，南接滨江路，东至宁波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铁路高架</w:t>
      </w:r>
      <w:r>
        <w:rPr>
          <w:rFonts w:hint="eastAsia" w:ascii="宋体" w:hAnsi="宋体" w:cs="宋体"/>
          <w:color w:val="auto"/>
          <w:highlight w:val="none"/>
        </w:rPr>
        <w:t>，西接逸夫路。</w:t>
      </w:r>
    </w:p>
    <w:p>
      <w:pPr>
        <w:pStyle w:val="12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left"/>
        <w:textAlignment w:val="auto"/>
        <w:rPr>
          <w:rFonts w:hint="eastAsia" w:ascii="宋体" w:hAnsi="宋体"/>
          <w:color w:val="auto"/>
          <w:kern w:val="0"/>
          <w:sz w:val="24"/>
          <w:highlight w:val="none"/>
        </w:rPr>
      </w:pPr>
      <w:r>
        <w:rPr>
          <w:rFonts w:hint="eastAsia" w:ascii="宋体" w:hAnsi="宋体"/>
          <w:color w:val="auto"/>
          <w:kern w:val="0"/>
          <w:sz w:val="24"/>
          <w:highlight w:val="none"/>
        </w:rPr>
        <w:t>本次采购为宁波东方理工大学(暂名)校园建设项目永久校区</w:t>
      </w:r>
      <w:r>
        <w:rPr>
          <w:rFonts w:hint="eastAsia" w:ascii="宋体" w:hAnsi="宋体"/>
          <w:color w:val="auto"/>
          <w:kern w:val="0"/>
          <w:sz w:val="24"/>
          <w:highlight w:val="none"/>
          <w:lang w:val="en-US" w:eastAsia="zh-CN"/>
        </w:rPr>
        <w:t>绿化景观专业分包工程</w:t>
      </w:r>
      <w:r>
        <w:rPr>
          <w:rFonts w:hint="eastAsia" w:ascii="宋体" w:hAnsi="宋体"/>
          <w:color w:val="auto"/>
          <w:kern w:val="0"/>
          <w:sz w:val="24"/>
          <w:highlight w:val="none"/>
        </w:rPr>
        <w:t>。</w:t>
      </w:r>
    </w:p>
    <w:p>
      <w:pPr>
        <w:pStyle w:val="12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left"/>
        <w:textAlignment w:val="auto"/>
        <w:rPr>
          <w:rFonts w:hint="eastAsia" w:ascii="宋体" w:hAnsi="宋体"/>
          <w:kern w:val="0"/>
          <w:sz w:val="24"/>
          <w:highlight w:val="none"/>
          <w:lang w:val="en-US" w:eastAsia="zh-CN"/>
        </w:rPr>
      </w:pPr>
      <w:r>
        <w:rPr>
          <w:rFonts w:hint="eastAsia" w:ascii="宋体" w:hAnsi="宋体"/>
          <w:kern w:val="0"/>
          <w:sz w:val="24"/>
          <w:highlight w:val="none"/>
          <w:lang w:val="en-US" w:eastAsia="zh-CN"/>
        </w:rPr>
        <w:t>项目景观面积约46万平方米，包含核心区、理工组团、东生活组团-1、体育组团、1号地块等。</w:t>
      </w:r>
    </w:p>
    <w:p>
      <w:pPr>
        <w:pStyle w:val="12"/>
        <w:shd w:val="clear"/>
        <w:spacing w:line="360" w:lineRule="auto"/>
        <w:ind w:left="0" w:leftChars="0" w:firstLine="0" w:firstLineChars="0"/>
        <w:jc w:val="both"/>
        <w:rPr>
          <w:rFonts w:hint="eastAsia" w:ascii="宋体" w:hAnsi="宋体"/>
          <w:kern w:val="0"/>
          <w:sz w:val="24"/>
          <w:highlight w:val="none"/>
          <w:lang w:eastAsia="zh-CN"/>
        </w:rPr>
      </w:pPr>
      <w:r>
        <w:rPr>
          <w:highlight w:val="none"/>
        </w:rPr>
        <w:drawing>
          <wp:inline distT="0" distB="0" distL="114300" distR="114300">
            <wp:extent cx="5918200" cy="2630805"/>
            <wp:effectExtent l="0" t="0" r="6350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shd w:val="clear"/>
        <w:spacing w:line="360" w:lineRule="auto"/>
        <w:ind w:left="0" w:leftChars="0" w:firstLine="0" w:firstLineChars="0"/>
        <w:jc w:val="center"/>
        <w:rPr>
          <w:rFonts w:hint="eastAsia" w:ascii="宋体" w:hAnsi="宋体"/>
          <w:kern w:val="0"/>
          <w:sz w:val="24"/>
          <w:highlight w:val="none"/>
          <w:lang w:val="en-US" w:eastAsia="zh-CN"/>
        </w:rPr>
      </w:pPr>
      <w:r>
        <w:rPr>
          <w:rFonts w:hint="eastAsia" w:ascii="宋体" w:hAnsi="宋体"/>
          <w:kern w:val="0"/>
          <w:sz w:val="24"/>
          <w:highlight w:val="none"/>
          <w:lang w:val="en-US" w:eastAsia="zh-CN"/>
        </w:rPr>
        <w:t>标段划分示意图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工期要求：</w:t>
      </w:r>
    </w:p>
    <w:p>
      <w:pPr>
        <w:pStyle w:val="8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eastAsia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计划</w:t>
      </w:r>
      <w:r>
        <w:rPr>
          <w:rFonts w:hint="eastAsia" w:ascii="宋体" w:hAnsi="宋体" w:eastAsia="宋体" w:cs="宋体"/>
          <w:color w:val="auto"/>
          <w:highlight w:val="none"/>
        </w:rPr>
        <w:t>20</w:t>
      </w: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highlight w:val="none"/>
        </w:rPr>
        <w:t>年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highlight w:val="none"/>
        </w:rPr>
        <w:t>月1日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开工，必须于</w:t>
      </w:r>
      <w:r>
        <w:rPr>
          <w:rFonts w:hint="eastAsia" w:ascii="宋体" w:hAnsi="宋体" w:eastAsia="宋体" w:cs="宋体"/>
          <w:color w:val="auto"/>
          <w:highlight w:val="none"/>
        </w:rPr>
        <w:t>20</w:t>
      </w: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>25</w:t>
      </w:r>
      <w:r>
        <w:rPr>
          <w:rFonts w:hint="eastAsia" w:ascii="宋体" w:hAnsi="宋体" w:eastAsia="宋体" w:cs="宋体"/>
          <w:color w:val="auto"/>
          <w:highlight w:val="none"/>
        </w:rPr>
        <w:t>年</w:t>
      </w: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highlight w:val="none"/>
        </w:rPr>
        <w:t>月</w:t>
      </w: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>30</w:t>
      </w:r>
      <w:r>
        <w:rPr>
          <w:rFonts w:hint="eastAsia" w:ascii="宋体" w:hAnsi="宋体" w:eastAsia="宋体" w:cs="宋体"/>
          <w:color w:val="auto"/>
          <w:highlight w:val="none"/>
        </w:rPr>
        <w:t>日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完成并通过竣工验收， 并必须于2025年5月30完成工程移交;</w:t>
      </w:r>
    </w:p>
    <w:p>
      <w:pPr>
        <w:pStyle w:val="8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以上工期均已考虑春节和其他节假日，具体开工日期以采购人、代建人书面开工通知为准，竣工日期与工程移交日期不予顺延。</w:t>
      </w:r>
    </w:p>
    <w:p>
      <w:pPr>
        <w:pStyle w:val="8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四、潜在的报名方资格及提交资料：</w:t>
      </w:r>
    </w:p>
    <w:p>
      <w:pPr>
        <w:pStyle w:val="8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1、报名方具有独立的法人资格，具备有效的营业执照。（提供公司营业执照等相关复印件）。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2、资质要求：具备市政公用工程施工总承包</w:t>
      </w:r>
      <w:r>
        <w:rPr>
          <w:rFonts w:hint="eastAsia" w:ascii="宋体" w:hAnsi="宋体" w:cs="宋体"/>
          <w:highlight w:val="none"/>
          <w:lang w:val="en-US" w:eastAsia="zh-CN"/>
        </w:rPr>
        <w:t>一级资质</w:t>
      </w:r>
      <w:r>
        <w:rPr>
          <w:rFonts w:hint="eastAsia" w:ascii="宋体" w:hAnsi="宋体" w:cs="宋体"/>
          <w:highlight w:val="none"/>
        </w:rPr>
        <w:t>。（提供公司资质证书等相关复印件）。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3、公司业绩要求：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</w:rPr>
        <w:t>1、公司近5年内（2019年1月份至今）已竣工的单个景观工程合同额达到8000万元及以上。(需提供对应合同硬景及绿化的相关合同额及证明文件）</w:t>
      </w:r>
      <w:r>
        <w:rPr>
          <w:rFonts w:hint="eastAsia" w:ascii="宋体" w:hAnsi="宋体" w:cs="宋体"/>
          <w:highlight w:val="none"/>
          <w:lang w:eastAsia="zh-CN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</w:rPr>
        <w:t>2、公司需提供苗圃相关资料</w:t>
      </w:r>
      <w:r>
        <w:rPr>
          <w:rFonts w:hint="eastAsia" w:ascii="宋体" w:hAnsi="宋体" w:cs="宋体"/>
          <w:highlight w:val="none"/>
          <w:lang w:eastAsia="zh-CN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default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公司业绩需提供至少3-5项相关业绩，</w:t>
      </w:r>
      <w:r>
        <w:rPr>
          <w:rFonts w:hint="eastAsia" w:ascii="宋体" w:hAnsi="宋体" w:cs="宋体"/>
          <w:highlight w:val="none"/>
        </w:rPr>
        <w:t>提供合同复印件、竣工验收报告、获奖证书等证明材料）。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4、拟派项目团队业绩要求：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textAlignment w:val="auto"/>
        <w:rPr>
          <w:rFonts w:hint="eastAsia" w:ascii="宋体" w:hAnsi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①项目负责人：市政工程专业注册建造师一级、安全B本且有园林类高工，负责的单个合同额达到5000万元及以上；②技术负责人：中级工程师及以上职称，工作年限8年及以上；③生产经理：中级工程师及以上职称，工作年限8年及以上；④主要管理人员具有中级及以上职称，工作年限3年及以上；（项目负责人业绩需提供至少1-3项相关业绩；提供合同、简历表、注册证书、获奖证书、社保、业绩证明资料等</w:t>
      </w:r>
      <w:r>
        <w:rPr>
          <w:rFonts w:hint="eastAsia" w:ascii="宋体" w:hAnsi="宋体" w:cs="宋体"/>
          <w:highlight w:val="none"/>
          <w:lang w:eastAsia="zh-CN"/>
        </w:rPr>
        <w:t>）。</w:t>
      </w:r>
    </w:p>
    <w:tbl>
      <w:tblPr>
        <w:tblStyle w:val="9"/>
        <w:tblW w:w="9235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shd w:val="clear" w:color="auto" w:fill="FFFFFF" w:themeFill="background1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6"/>
        <w:gridCol w:w="1691"/>
        <w:gridCol w:w="2141"/>
        <w:gridCol w:w="4677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0" w:hRule="atLeast"/>
          <w:jc w:val="center"/>
        </w:trPr>
        <w:tc>
          <w:tcPr>
            <w:tcW w:w="726" w:type="dxa"/>
            <w:tcBorders>
              <w:bottom w:val="single" w:color="auto" w:sz="8" w:space="0"/>
            </w:tcBorders>
            <w:shd w:val="clear" w:color="auto" w:fill="FFFFFF" w:themeFill="background1"/>
            <w:vAlign w:val="center"/>
          </w:tcPr>
          <w:p>
            <w:pPr>
              <w:pStyle w:val="8"/>
              <w:keepNext w:val="0"/>
              <w:keepLines w:val="0"/>
              <w:widowControl/>
              <w:suppressLineNumbers w:val="0"/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highlight w:val="none"/>
              </w:rPr>
              <w:t>序号</w:t>
            </w:r>
          </w:p>
        </w:tc>
        <w:tc>
          <w:tcPr>
            <w:tcW w:w="1691" w:type="dxa"/>
            <w:tcBorders>
              <w:bottom w:val="single" w:color="auto" w:sz="8" w:space="0"/>
            </w:tcBorders>
            <w:shd w:val="clear" w:color="auto" w:fill="FFFFFF" w:themeFill="background1"/>
            <w:vAlign w:val="center"/>
          </w:tcPr>
          <w:p>
            <w:pPr>
              <w:pStyle w:val="8"/>
              <w:keepNext w:val="0"/>
              <w:keepLines w:val="0"/>
              <w:widowControl/>
              <w:suppressLineNumbers w:val="0"/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highlight w:val="none"/>
              </w:rPr>
              <w:t>职务</w:t>
            </w:r>
          </w:p>
        </w:tc>
        <w:tc>
          <w:tcPr>
            <w:tcW w:w="2141" w:type="dxa"/>
            <w:tcBorders>
              <w:bottom w:val="single" w:color="auto" w:sz="8" w:space="0"/>
            </w:tcBorders>
            <w:shd w:val="clear" w:color="auto" w:fill="FFFFFF" w:themeFill="background1"/>
            <w:vAlign w:val="center"/>
          </w:tcPr>
          <w:p>
            <w:pPr>
              <w:pStyle w:val="8"/>
              <w:keepNext w:val="0"/>
              <w:keepLines w:val="0"/>
              <w:widowControl/>
              <w:suppressLineNumbers w:val="0"/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highlight w:val="none"/>
              </w:rPr>
              <w:t>人员数量</w:t>
            </w:r>
          </w:p>
        </w:tc>
        <w:tc>
          <w:tcPr>
            <w:tcW w:w="4677" w:type="dxa"/>
            <w:tcBorders>
              <w:bottom w:val="single" w:color="auto" w:sz="8" w:space="0"/>
            </w:tcBorders>
            <w:shd w:val="clear" w:color="auto" w:fill="FFFFFF" w:themeFill="background1"/>
            <w:vAlign w:val="center"/>
          </w:tcPr>
          <w:p>
            <w:pPr>
              <w:pStyle w:val="8"/>
              <w:keepNext w:val="0"/>
              <w:keepLines w:val="0"/>
              <w:widowControl/>
              <w:suppressLineNumbers w:val="0"/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highlight w:val="none"/>
              </w:rPr>
              <w:t>团队成员要求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指挥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长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集团公司/总公司副总及以上职位；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6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项目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负责人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numPr>
                <w:ilvl w:val="0"/>
                <w:numId w:val="2"/>
              </w:numPr>
              <w:jc w:val="left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  <w:lang w:val="en-US" w:eastAsia="zh-CN"/>
              </w:rPr>
              <w:t>市政工程专业注册建造师一级、安全B本且有园林类高工；</w:t>
            </w:r>
          </w:p>
          <w:p>
            <w:pPr>
              <w:numPr>
                <w:ilvl w:val="0"/>
                <w:numId w:val="2"/>
              </w:numPr>
              <w:jc w:val="left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具有10年以上同类工程工作经验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  <w:t>；</w:t>
            </w:r>
          </w:p>
          <w:p>
            <w:pPr>
              <w:numPr>
                <w:ilvl w:val="0"/>
                <w:numId w:val="2"/>
              </w:numPr>
              <w:jc w:val="left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  <w:lang w:val="en-US" w:eastAsia="zh-CN"/>
              </w:rPr>
              <w:t>负责的单个合同额达到5000万元及以上；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生产经理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numPr>
                <w:ilvl w:val="0"/>
                <w:numId w:val="3"/>
              </w:num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中级工程师及以上职称；</w:t>
            </w:r>
          </w:p>
          <w:p>
            <w:pPr>
              <w:numPr>
                <w:ilvl w:val="0"/>
                <w:numId w:val="3"/>
              </w:num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8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  <w:t>；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技术负责人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中级工程师及以上职称；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2、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具有8年以上同类工程工作经验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eastAsia="zh-CN"/>
                <w14:textFill>
                  <w14:solidFill>
                    <w14:schemeClr w14:val="tx1"/>
                  </w14:solidFill>
                </w14:textFill>
              </w:rPr>
              <w:t>；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绿化工程师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水电工程师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资料员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测量员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深化设计人员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商务人员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安全员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具有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年以上同类工程工作经验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726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69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场地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val="en-US" w:eastAsia="zh-CN"/>
              </w:rPr>
              <w:t>移交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专员</w:t>
            </w:r>
          </w:p>
        </w:tc>
        <w:tc>
          <w:tcPr>
            <w:tcW w:w="2141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1人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 w:themeColor="text1"/>
                <w:sz w:val="21"/>
                <w:szCs w:val="21"/>
                <w:highlight w:val="none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负责管理场地移交及场地跟踪事宜，不得兼职。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4558" w:type="dxa"/>
            <w:gridSpan w:val="3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合计</w:t>
            </w:r>
          </w:p>
        </w:tc>
        <w:tc>
          <w:tcPr>
            <w:tcW w:w="4677" w:type="dxa"/>
            <w:shd w:val="clear" w:color="auto" w:fill="FFFFFF" w:themeFill="background1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  <w:lang w:val="en-US" w:eastAsia="zh-CN"/>
              </w:rPr>
              <w:t>15人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" w:hRule="atLeast"/>
          <w:jc w:val="center"/>
        </w:trPr>
        <w:tc>
          <w:tcPr>
            <w:tcW w:w="9235" w:type="dxa"/>
            <w:gridSpan w:val="4"/>
            <w:shd w:val="clear" w:color="auto" w:fill="FFFFFF" w:themeFill="background1"/>
            <w:vAlign w:val="center"/>
          </w:tcPr>
          <w:p>
            <w:pPr>
              <w:jc w:val="left"/>
              <w:rPr>
                <w:rFonts w:hint="default" w:ascii="宋体" w:hAnsi="宋体" w:eastAsia="宋体" w:cs="宋体"/>
                <w:sz w:val="21"/>
                <w:szCs w:val="21"/>
                <w:highlight w:val="none"/>
                <w:lang w:val="en-US"/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备注：为满足施工需求，管理人员可超过15人，按需增加，人员进场根据工程进度及采购人、代建人要求分批进场。</w:t>
            </w:r>
          </w:p>
        </w:tc>
      </w:tr>
    </w:tbl>
    <w:p>
      <w:pPr>
        <w:pStyle w:val="8"/>
        <w:widowControl/>
        <w:spacing w:before="0" w:beforeAutospacing="0" w:after="0" w:afterAutospacing="0" w:line="240" w:lineRule="auto"/>
        <w:jc w:val="center"/>
        <w:rPr>
          <w:rFonts w:hint="eastAsia" w:ascii="宋体" w:hAnsi="宋体" w:cs="宋体"/>
          <w:highlight w:val="none"/>
          <w:lang w:eastAsia="zh-CN"/>
        </w:rPr>
      </w:pP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eastAsia" w:ascii="宋体" w:hAnsi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highlight w:val="none"/>
          <w:lang w:eastAsia="zh-CN"/>
        </w:rPr>
        <w:t>所有人员</w:t>
      </w:r>
      <w:r>
        <w:rPr>
          <w:rFonts w:hint="eastAsia" w:ascii="宋体" w:hAnsi="宋体" w:cs="宋体"/>
          <w:highlight w:val="none"/>
          <w:lang w:eastAsia="zh-CN"/>
        </w:rPr>
        <w:t>需提供相关业绩，并提供合同、简历表、职称证书、获奖证书（如有）、</w:t>
      </w:r>
      <w:r>
        <w:rPr>
          <w:rFonts w:hint="eastAsia" w:ascii="宋体" w:hAnsi="宋体" w:cs="宋体"/>
          <w:highlight w:val="none"/>
          <w:lang w:val="en-US" w:eastAsia="zh-CN"/>
        </w:rPr>
        <w:t>近3个月</w:t>
      </w:r>
      <w:r>
        <w:rPr>
          <w:rFonts w:hint="eastAsia" w:ascii="宋体" w:hAnsi="宋体" w:cs="宋体"/>
          <w:highlight w:val="none"/>
          <w:lang w:eastAsia="zh-CN"/>
        </w:rPr>
        <w:t>社保</w:t>
      </w:r>
      <w:r>
        <w:rPr>
          <w:rFonts w:hint="eastAsia" w:ascii="宋体" w:hAnsi="宋体" w:cs="宋体"/>
          <w:highlight w:val="none"/>
          <w:lang w:val="en-US" w:eastAsia="zh-CN"/>
        </w:rPr>
        <w:t>缴纳证明（2024年3月至2024年5月）</w:t>
      </w:r>
      <w:r>
        <w:rPr>
          <w:rFonts w:hint="eastAsia" w:ascii="宋体" w:hAnsi="宋体" w:cs="宋体"/>
          <w:highlight w:val="none"/>
          <w:lang w:eastAsia="zh-CN"/>
        </w:rPr>
        <w:t>等相关业绩证明资料）。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5、近三年（2021-2023年）经第三方审计的财务报告，公司营业额、</w:t>
      </w:r>
      <w:r>
        <w:rPr>
          <w:rFonts w:hint="eastAsia" w:ascii="宋体" w:hAnsi="宋体" w:cs="宋体"/>
          <w:highlight w:val="none"/>
          <w:lang w:val="en-US" w:eastAsia="zh-CN"/>
        </w:rPr>
        <w:t>景观</w:t>
      </w:r>
      <w:r>
        <w:rPr>
          <w:rFonts w:hint="eastAsia" w:ascii="宋体" w:hAnsi="宋体" w:cs="宋体"/>
          <w:highlight w:val="none"/>
        </w:rPr>
        <w:t>工程的营业额、资产负债率、经营性活动现金流入情况及经营性活动现金流出情况；若2023年第三方财务审计报告还未完成，则提供（2020-2022年）经第三方审计的财务报告。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6、</w:t>
      </w:r>
      <w:r>
        <w:rPr>
          <w:rFonts w:hint="eastAsia" w:ascii="宋体" w:hAnsi="宋体" w:cs="宋体"/>
          <w:highlight w:val="none"/>
          <w:lang w:val="en-US" w:eastAsia="zh-CN"/>
        </w:rPr>
        <w:t>报名方</w:t>
      </w:r>
      <w:r>
        <w:rPr>
          <w:rFonts w:hint="eastAsia" w:ascii="宋体" w:hAnsi="宋体" w:cs="宋体"/>
          <w:highlight w:val="none"/>
        </w:rPr>
        <w:t>的信用情况；</w:t>
      </w:r>
      <w:r>
        <w:rPr>
          <w:rFonts w:hint="eastAsia" w:ascii="宋体" w:hAnsi="宋体" w:cs="宋体"/>
          <w:highlight w:val="none"/>
          <w:lang w:val="en-US" w:eastAsia="zh-CN"/>
        </w:rPr>
        <w:t>报名方</w:t>
      </w:r>
      <w:r>
        <w:rPr>
          <w:rFonts w:hint="eastAsia" w:ascii="宋体" w:hAnsi="宋体" w:cs="宋体"/>
          <w:highlight w:val="none"/>
        </w:rPr>
        <w:t>、法定代表人、项目负责人未被“信用中国”列入严重失信主体名单和“信用中国（浙江）”列入黑名单。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7、报名方具备安全生产条件，取得有效安全生产许可证，并在人员、设备、资金等方面具有相应的施工能力，拟报名单位近三年（截止时间为本报名公告发布日）无重特大安全生产责任事故。（提供安全生产许可证等相关复印件）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8、本项目不接受联合体报名。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9、</w:t>
      </w:r>
      <w:r>
        <w:rPr>
          <w:rFonts w:hint="eastAsia" w:ascii="宋体" w:hAnsi="宋体" w:cs="宋体"/>
          <w:highlight w:val="none"/>
          <w:lang w:val="en-US" w:eastAsia="zh-CN"/>
        </w:rPr>
        <w:t>报名方</w:t>
      </w:r>
      <w:r>
        <w:rPr>
          <w:rFonts w:hint="eastAsia" w:ascii="宋体" w:hAnsi="宋体" w:cs="宋体"/>
          <w:highlight w:val="none"/>
        </w:rPr>
        <w:t>认为有必要的其他资料。（提供团队架构等支持相关的材料）。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10、报名资料需编制目录索引。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11、本项目不接受存在控股关系的两家及以上单位同时报名。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12、学校保留要求各</w:t>
      </w:r>
      <w:r>
        <w:rPr>
          <w:rFonts w:hint="eastAsia" w:ascii="宋体" w:hAnsi="宋体" w:cs="宋体"/>
          <w:highlight w:val="none"/>
          <w:lang w:val="en-US" w:eastAsia="zh-CN"/>
        </w:rPr>
        <w:t>报名方</w:t>
      </w:r>
      <w:r>
        <w:rPr>
          <w:rFonts w:hint="eastAsia" w:ascii="宋体" w:hAnsi="宋体" w:cs="宋体"/>
          <w:highlight w:val="none"/>
        </w:rPr>
        <w:t>提供其他资料的权利。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b/>
          <w:bCs/>
          <w:highlight w:val="none"/>
        </w:rPr>
      </w:pPr>
      <w:r>
        <w:rPr>
          <w:rFonts w:hint="eastAsia" w:ascii="宋体" w:hAnsi="宋体" w:cs="宋体"/>
          <w:b/>
          <w:bCs/>
          <w:highlight w:val="none"/>
        </w:rPr>
        <w:t>请报名方认真对照资格条件，如不符合要求的，无意或故意参与报名，经评审发现的则取消报名方资格；评审过程中，报名方提供的相关证件为虚假或伪造，或者其他人员持法定代表人或授权委托人的身份证参与报名，一经发现亦取消报名方资格，且所产生的一切后果由报名方自行承担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五、报名保证金的缴纳：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 xml:space="preserve">金额：人民币 </w:t>
      </w:r>
      <w:r>
        <w:rPr>
          <w:rFonts w:hint="eastAsia" w:ascii="宋体" w:hAnsi="宋体" w:cs="宋体"/>
          <w:highlight w:val="none"/>
        </w:rPr>
        <w:t>壹万元整</w:t>
      </w:r>
      <w:r>
        <w:rPr>
          <w:rFonts w:ascii="宋体" w:hAnsi="宋体" w:cs="宋体"/>
          <w:highlight w:val="none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通过供应商的基本账户以银行转帐方式缴入以下账户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 xml:space="preserve">账户名：深圳市润置城市建设管理有限公司 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开户行：交通银行深圳分行营业部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银行账号：443066285013006976000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提交截止时间：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>年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6</w:t>
      </w:r>
      <w:r>
        <w:rPr>
          <w:rFonts w:ascii="宋体" w:hAnsi="宋体" w:cs="宋体"/>
          <w:b/>
          <w:bCs/>
          <w:highlight w:val="none"/>
        </w:rPr>
        <w:t xml:space="preserve"> 月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21</w:t>
      </w:r>
      <w:bookmarkStart w:id="0" w:name="_GoBack"/>
      <w:bookmarkEnd w:id="0"/>
      <w:r>
        <w:rPr>
          <w:rFonts w:ascii="宋体" w:hAnsi="宋体" w:cs="宋体"/>
          <w:b/>
          <w:bCs/>
          <w:highlight w:val="none"/>
        </w:rPr>
        <w:t xml:space="preserve"> 日 12:00 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（北京时间，以资金到达上述账户时间为准。同时需将缴纳</w:t>
      </w:r>
      <w:r>
        <w:rPr>
          <w:rFonts w:hint="eastAsia" w:ascii="宋体" w:hAnsi="宋体" w:cs="宋体"/>
          <w:highlight w:val="none"/>
          <w:lang w:val="en-US" w:eastAsia="zh-CN"/>
        </w:rPr>
        <w:t>报名</w:t>
      </w:r>
      <w:r>
        <w:rPr>
          <w:rFonts w:ascii="宋体" w:hAnsi="宋体" w:cs="宋体"/>
          <w:highlight w:val="none"/>
        </w:rPr>
        <w:t>保证金的付款凭证发送到邮箱CRLD_NBDFLGHY_ZY@crland.com.cn）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六、报名文件接收：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1、凡符合报名资格要求并有意参加者，请于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>年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6</w:t>
      </w:r>
      <w:r>
        <w:rPr>
          <w:rFonts w:ascii="宋体" w:hAnsi="宋体" w:cs="宋体"/>
          <w:b/>
          <w:bCs/>
          <w:highlight w:val="none"/>
        </w:rPr>
        <w:t xml:space="preserve"> 月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21</w:t>
      </w:r>
      <w:r>
        <w:rPr>
          <w:rFonts w:ascii="宋体" w:hAnsi="宋体" w:cs="宋体"/>
          <w:b/>
          <w:bCs/>
          <w:highlight w:val="none"/>
        </w:rPr>
        <w:t xml:space="preserve"> 日 12:00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  <w:r>
        <w:rPr>
          <w:rFonts w:hint="eastAsia" w:ascii="宋体" w:hAnsi="宋体" w:cs="宋体"/>
          <w:highlight w:val="none"/>
        </w:rPr>
        <w:t>前</w:t>
      </w:r>
      <w:r>
        <w:rPr>
          <w:rFonts w:hint="eastAsia" w:ascii="宋体" w:hAnsi="宋体" w:cs="宋体"/>
          <w:b/>
          <w:bCs/>
          <w:highlight w:val="none"/>
        </w:rPr>
        <w:t>（逾期提交的资料不予接收）</w:t>
      </w:r>
      <w:r>
        <w:rPr>
          <w:rFonts w:hint="eastAsia" w:ascii="宋体" w:hAnsi="宋体" w:cs="宋体"/>
          <w:highlight w:val="none"/>
        </w:rPr>
        <w:t>至</w:t>
      </w:r>
      <w:r>
        <w:rPr>
          <w:rFonts w:hint="eastAsia" w:ascii="宋体" w:hAnsi="宋体" w:cs="宋体"/>
          <w:bCs/>
          <w:highlight w:val="none"/>
        </w:rPr>
        <w:t>宁波市镇海区同心路568号开元新青年广场2号楼3</w:t>
      </w:r>
      <w:r>
        <w:rPr>
          <w:rFonts w:hint="eastAsia" w:ascii="宋体" w:hAnsi="宋体" w:cs="宋体"/>
          <w:bCs/>
          <w:highlight w:val="none"/>
          <w:lang w:val="en-US" w:eastAsia="zh-CN"/>
        </w:rPr>
        <w:t>层306室</w:t>
      </w:r>
      <w:r>
        <w:rPr>
          <w:rFonts w:hint="eastAsia" w:ascii="宋体" w:hAnsi="宋体" w:cs="宋体"/>
          <w:highlight w:val="none"/>
        </w:rPr>
        <w:t>递交报名文件（纸质版一份，电子版一份，电子版需提供可编辑版及PDF盖章版扫描件，存入U盘，U盘贴好单位标签，与纸质资料一同送达）。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default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2、本次报名公告发布在宁波东方理工大学（暂名）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、中国招标投标公共服务平台（http://www.cebpubservice.com/），</w:t>
      </w:r>
      <w:r>
        <w:rPr>
          <w:rFonts w:hint="eastAsia" w:ascii="宋体" w:hAnsi="宋体" w:cs="宋体"/>
          <w:highlight w:val="none"/>
          <w:lang w:val="en-US" w:eastAsia="zh-CN"/>
        </w:rPr>
        <w:t>报名文件可从宁波东方理工大学（暂名）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val="en-US" w:eastAsia="zh-CN"/>
        </w:rPr>
        <w:t>下载获取。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3</w:t>
      </w:r>
      <w:r>
        <w:rPr>
          <w:rFonts w:hint="eastAsia" w:ascii="宋体" w:hAnsi="宋体" w:cs="宋体"/>
          <w:highlight w:val="none"/>
        </w:rPr>
        <w:t>、有关本次报名的事项若存在变动或修改，敬请及时关注宁波东方理工大学（暂名）（https://www.eitech.edu.cn）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</w:t>
      </w:r>
      <w:r>
        <w:rPr>
          <w:rFonts w:hint="eastAsia" w:ascii="宋体" w:hAnsi="宋体" w:cs="宋体"/>
          <w:highlight w:val="none"/>
        </w:rPr>
        <w:t>发布的信息更正公告，恕不另行通知，如有遗漏采购人概不负责。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七、报名文件接收截止时间：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6</w:t>
      </w:r>
      <w:r>
        <w:rPr>
          <w:rFonts w:ascii="宋体" w:hAnsi="宋体" w:cs="宋体"/>
          <w:b/>
          <w:bCs/>
          <w:highlight w:val="none"/>
        </w:rPr>
        <w:t xml:space="preserve"> 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21 </w:t>
      </w:r>
      <w:r>
        <w:rPr>
          <w:rFonts w:ascii="宋体" w:hAnsi="宋体" w:cs="宋体"/>
          <w:b/>
          <w:bCs/>
          <w:highlight w:val="none"/>
        </w:rPr>
        <w:t xml:space="preserve">日 12:00 </w:t>
      </w:r>
      <w:r>
        <w:rPr>
          <w:rFonts w:hint="eastAsia" w:ascii="宋体" w:hAnsi="宋体" w:cs="宋体"/>
          <w:highlight w:val="none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八、联系方式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eastAsia" w:ascii="宋体" w:hAnsi="宋体" w:cs="宋体"/>
          <w:sz w:val="24"/>
          <w:highlight w:val="none"/>
        </w:rPr>
      </w:pPr>
      <w:r>
        <w:rPr>
          <w:rFonts w:hint="eastAsia" w:ascii="宋体" w:hAnsi="宋体" w:cs="宋体"/>
          <w:sz w:val="24"/>
          <w:highlight w:val="none"/>
        </w:rPr>
        <w:t>（一）、采购人：宁波东方理工大学(暂名)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ascii="宋体" w:hAnsi="宋体" w:cs="宋体"/>
          <w:bCs/>
          <w:highlight w:val="none"/>
          <w:u w:val="single"/>
        </w:rPr>
      </w:pPr>
      <w:r>
        <w:rPr>
          <w:rFonts w:hint="eastAsia" w:ascii="宋体" w:hAnsi="宋体" w:cs="宋体"/>
          <w:highlight w:val="none"/>
        </w:rPr>
        <w:t>、代建人：</w:t>
      </w:r>
      <w:r>
        <w:rPr>
          <w:rFonts w:hint="eastAsia" w:ascii="宋体" w:hAnsi="宋体" w:cs="宋体"/>
          <w:bCs/>
          <w:highlight w:val="none"/>
          <w:u w:val="single"/>
        </w:rPr>
        <w:t>深圳市润置城市建设管理有限公司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default" w:ascii="宋体" w:hAnsi="宋体" w:eastAsia="宋体" w:cs="宋体"/>
          <w:bCs/>
          <w:highlight w:val="none"/>
          <w:u w:val="single"/>
          <w:lang w:val="en-US" w:eastAsia="zh-CN"/>
        </w:rPr>
      </w:pPr>
      <w:r>
        <w:rPr>
          <w:rFonts w:hint="eastAsia" w:ascii="宋体" w:hAnsi="宋体" w:cs="宋体"/>
          <w:highlight w:val="none"/>
        </w:rPr>
        <w:t>联系人：</w:t>
      </w:r>
      <w:r>
        <w:rPr>
          <w:rFonts w:hint="eastAsia" w:ascii="宋体" w:hAnsi="宋体" w:cs="宋体"/>
          <w:highlight w:val="none"/>
          <w:lang w:val="en-US" w:eastAsia="zh-CN"/>
        </w:rPr>
        <w:t>康希希</w:t>
      </w:r>
      <w:r>
        <w:rPr>
          <w:rFonts w:hint="eastAsia" w:ascii="宋体" w:hAnsi="宋体" w:cs="宋体"/>
          <w:highlight w:val="none"/>
        </w:rPr>
        <w:t>   联系电话：</w:t>
      </w:r>
      <w:r>
        <w:rPr>
          <w:rFonts w:hint="eastAsia" w:ascii="宋体" w:hAnsi="宋体" w:cs="宋体"/>
          <w:highlight w:val="none"/>
          <w:lang w:val="en-US" w:eastAsia="zh-CN"/>
        </w:rPr>
        <w:t>18658662012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leftChars="0" w:firstLine="480" w:firstLineChars="200"/>
        <w:textAlignment w:val="auto"/>
        <w:rPr>
          <w:rFonts w:hint="default" w:eastAsia="宋体"/>
          <w:bCs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地 址：</w:t>
      </w:r>
      <w:r>
        <w:rPr>
          <w:rFonts w:hint="eastAsia" w:ascii="宋体" w:hAnsi="宋体" w:cs="宋体"/>
          <w:bCs/>
          <w:highlight w:val="none"/>
        </w:rPr>
        <w:t>宁波市镇海区同心路568号开元新青年广场2号楼3</w:t>
      </w:r>
      <w:r>
        <w:rPr>
          <w:rFonts w:hint="eastAsia" w:ascii="宋体" w:hAnsi="宋体" w:cs="宋体"/>
          <w:bCs/>
          <w:highlight w:val="none"/>
          <w:lang w:val="en-US" w:eastAsia="zh-CN"/>
        </w:rPr>
        <w:t>层306室</w:t>
      </w:r>
    </w:p>
    <w:sectPr>
      <w:footerReference r:id="rId4" w:type="default"/>
      <w:pgSz w:w="11906" w:h="16838"/>
      <w:pgMar w:top="986" w:right="1230" w:bottom="930" w:left="1344" w:header="737" w:footer="680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BnaaT/JAQAAkgMAAA4AAABkcnMvZTJvRG9jLnhtbK1TzY7TMBC+I/EO&#10;lu80aYWgRE1XSNUiJAQrLTyA6ziNJf9pxm1SHgDegBMX7jxXn4Oxk3TRctkDF2fGY3/zfZ8nm5vB&#10;GnZSgNq7mi8XJWfKSd9od6j5l8+3L9acYRSuEcY7VfOzQn6zff5s04dKrXznTaOAEYjDqg8172IM&#10;VVGg7JQVuPBBOSq2HqyIlMKhaED0hG5NsSrLV0XvoQngpUKk3d1Y5BMiPAXQt62Waufl0SoXR1RQ&#10;RkSShJ0OyLeZbdsqGT+1LarITM1JacwrNaF4n9ZiuxHVAUTotJwoiKdQeKTJCu2o6RVqJ6JgR9D/&#10;QFktwaNv40J6W4xCsiOkYlk+8ua+E0FlLWQ1hqvp+P9g5cfTHTDd1Pxl+eY1Z05YevPLj++Xn78v&#10;v76xVXKoD1jRwftwB1OGFCa5Qws2fUkIG7Kr56uraohM0uZyvVqvSzJcUm1OCKd4uB4A4zvlLUtB&#10;zYGeLbspTh8wjkfnI6mbcWl1/lYbM1bTTpFojsRSFIf9MLHd++ZMKmnoCbzz8JWznp685o4mnDPz&#10;3pGjaTrmAOZgPwfCSbpY85EXhrfHSO0zt9Rs7DBxoKfK6qaxSrPwd55PPfxK2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5dblS0AAAAAUBAAAPAAAAAAAAAAEAIAAAACIAAABkcnMvZG93bnJldi54&#10;bWxQSwECFAAUAAAACACHTuJAGdppP8kBAACSAwAADgAAAAAAAAABACAAAAAf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ARIbgnGAQAAjwMAAA4AAABkcnMvZTJvRG9jLnhtbK1TS27bMBDdF+gd&#10;CO5ryV4UhmA5CGAkKFC0AdIegKYoiwB/mKEtuQdob9BVN933XD5Hh5TkBOkmi26oGQ755r3H0eZm&#10;sIadFKD2rubLRcmZctI32h1q/vXL3bs1ZxiFa4TxTtX8rJDfbN++2fShUivfedMoYATisOpDzbsY&#10;Q1UUKDtlBS58UI6KrQcrIqVwKBoQPaFbU6zK8n3Re2gCeKkQaXc3FvmECK8B9G2rpdp5ebTKxREV&#10;lBGRJGGnA/JtZtu2SsbPbYsqMlNzUhrzSk0o3qe12G5EdQAROi0nCuI1FF5oskI7anqF2oko2BH0&#10;P1BWS/Do27iQ3hajkOwIqViWL7x57ERQWQtZjeFqOv4/WPnp9ABMNzQJnDlh6cEvP39cfv25/P7O&#10;VsmePmBFpx7DA0wZUpi0Di3Y9CUVbMiWnq+WqiEySZvL9Wq9LsltSbU5IZzi6XoAjPfKW5aCmgO9&#10;WbZSnD5iHI/OR1I349Lq/J02ZqymnSLRHImlKA77YWK7982ZJNLEE3jn4RtnPb13zR2NN2fmgyM7&#10;02jMAczBfg6Ek3Sx5iMvDLfHSO0zt9Rs7DBxoHfK6qaZSoPwPM+nnv6j7V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5dblS0AAAAAUBAAAPAAAAAAAAAAEAIAAAACIAAABkcnMvZG93bnJldi54bWxQ&#10;SwECFAAUAAAACACHTuJABEhuCcYBAACPAwAADgAAAAAAAAABACAAAAAf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singleLevel"/>
    <w:tmpl w:val="00000001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0053208E"/>
    <w:multiLevelType w:val="singleLevel"/>
    <w:tmpl w:val="0053208E"/>
    <w:lvl w:ilvl="0" w:tentative="0">
      <w:start w:val="1"/>
      <w:numFmt w:val="chineseCounting"/>
      <w:suff w:val="nothing"/>
      <w:lvlText w:val="%1、"/>
      <w:lvlJc w:val="left"/>
      <w:rPr>
        <w:rFonts w:hint="eastAsia"/>
        <w:highlight w:val="none"/>
      </w:rPr>
    </w:lvl>
  </w:abstractNum>
  <w:abstractNum w:abstractNumId="2">
    <w:nsid w:val="669575E8"/>
    <w:multiLevelType w:val="singleLevel"/>
    <w:tmpl w:val="669575E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721CC031"/>
    <w:multiLevelType w:val="singleLevel"/>
    <w:tmpl w:val="721CC03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FiYjZkYjM2OGNlMDA1YTk3ZWM1NjRmYmI2ZjYyZjQifQ=="/>
  </w:docVars>
  <w:rsids>
    <w:rsidRoot w:val="001F191D"/>
    <w:rsid w:val="0002008A"/>
    <w:rsid w:val="0003258A"/>
    <w:rsid w:val="00057CD0"/>
    <w:rsid w:val="000F6B1A"/>
    <w:rsid w:val="001F191D"/>
    <w:rsid w:val="006276F0"/>
    <w:rsid w:val="0074121E"/>
    <w:rsid w:val="007D0A04"/>
    <w:rsid w:val="00AB52E6"/>
    <w:rsid w:val="00C16647"/>
    <w:rsid w:val="00E507C9"/>
    <w:rsid w:val="00E74CA4"/>
    <w:rsid w:val="00ED76CA"/>
    <w:rsid w:val="00FD09C6"/>
    <w:rsid w:val="01657C13"/>
    <w:rsid w:val="019B1886"/>
    <w:rsid w:val="01AA7D1B"/>
    <w:rsid w:val="01C56903"/>
    <w:rsid w:val="01C80B54"/>
    <w:rsid w:val="01E52B01"/>
    <w:rsid w:val="020967F0"/>
    <w:rsid w:val="02750C45"/>
    <w:rsid w:val="02874585"/>
    <w:rsid w:val="02FB500B"/>
    <w:rsid w:val="04455AD9"/>
    <w:rsid w:val="04BA0275"/>
    <w:rsid w:val="04F86800"/>
    <w:rsid w:val="05A73E2D"/>
    <w:rsid w:val="065F10D4"/>
    <w:rsid w:val="071B6AB4"/>
    <w:rsid w:val="07793596"/>
    <w:rsid w:val="07F27D26"/>
    <w:rsid w:val="081163FE"/>
    <w:rsid w:val="087846C0"/>
    <w:rsid w:val="08AA23AF"/>
    <w:rsid w:val="091F516D"/>
    <w:rsid w:val="09E357DD"/>
    <w:rsid w:val="0A320308"/>
    <w:rsid w:val="0A8D3D36"/>
    <w:rsid w:val="0B2504C3"/>
    <w:rsid w:val="0C6432FB"/>
    <w:rsid w:val="0C684A5B"/>
    <w:rsid w:val="0CD566D9"/>
    <w:rsid w:val="0CDF620D"/>
    <w:rsid w:val="0D7731A8"/>
    <w:rsid w:val="0DF465A6"/>
    <w:rsid w:val="0E124BC8"/>
    <w:rsid w:val="0E611762"/>
    <w:rsid w:val="0F1F1DCA"/>
    <w:rsid w:val="0F4C2412"/>
    <w:rsid w:val="0F5C08A7"/>
    <w:rsid w:val="0F9B4EDD"/>
    <w:rsid w:val="0FB07BF6"/>
    <w:rsid w:val="11CB232A"/>
    <w:rsid w:val="126D1892"/>
    <w:rsid w:val="138B1BD0"/>
    <w:rsid w:val="141D612B"/>
    <w:rsid w:val="15DF0B7C"/>
    <w:rsid w:val="160C54D1"/>
    <w:rsid w:val="16C15493"/>
    <w:rsid w:val="17832749"/>
    <w:rsid w:val="18333835"/>
    <w:rsid w:val="19E20B4E"/>
    <w:rsid w:val="1A6E148E"/>
    <w:rsid w:val="1A8707A2"/>
    <w:rsid w:val="1BCF41AF"/>
    <w:rsid w:val="1BD417C5"/>
    <w:rsid w:val="1C0E5478"/>
    <w:rsid w:val="1C1037C9"/>
    <w:rsid w:val="1C512E16"/>
    <w:rsid w:val="1C773457"/>
    <w:rsid w:val="1C962F1E"/>
    <w:rsid w:val="1CED153A"/>
    <w:rsid w:val="1D100F23"/>
    <w:rsid w:val="1D880AB9"/>
    <w:rsid w:val="1F5A0233"/>
    <w:rsid w:val="1F884DE0"/>
    <w:rsid w:val="1FD60EE6"/>
    <w:rsid w:val="1FDE2C12"/>
    <w:rsid w:val="201F2A98"/>
    <w:rsid w:val="20D61B3B"/>
    <w:rsid w:val="20F77219"/>
    <w:rsid w:val="210963B5"/>
    <w:rsid w:val="212A1E87"/>
    <w:rsid w:val="22812EA5"/>
    <w:rsid w:val="229B128E"/>
    <w:rsid w:val="22DD420F"/>
    <w:rsid w:val="23934307"/>
    <w:rsid w:val="24D577AD"/>
    <w:rsid w:val="2540611D"/>
    <w:rsid w:val="25E423AB"/>
    <w:rsid w:val="26964247"/>
    <w:rsid w:val="26C16DEA"/>
    <w:rsid w:val="26C62C99"/>
    <w:rsid w:val="27C64BD1"/>
    <w:rsid w:val="28043432"/>
    <w:rsid w:val="2859060F"/>
    <w:rsid w:val="28C606E7"/>
    <w:rsid w:val="29082659"/>
    <w:rsid w:val="29894B58"/>
    <w:rsid w:val="2B0100FD"/>
    <w:rsid w:val="2C283F05"/>
    <w:rsid w:val="2F4D3993"/>
    <w:rsid w:val="2F6824F8"/>
    <w:rsid w:val="2F740E9D"/>
    <w:rsid w:val="30BA4FD6"/>
    <w:rsid w:val="30DE0729"/>
    <w:rsid w:val="31434FCB"/>
    <w:rsid w:val="31C81974"/>
    <w:rsid w:val="322A2389"/>
    <w:rsid w:val="33154745"/>
    <w:rsid w:val="33650457"/>
    <w:rsid w:val="33B61C17"/>
    <w:rsid w:val="34367981"/>
    <w:rsid w:val="376F2192"/>
    <w:rsid w:val="37741B3C"/>
    <w:rsid w:val="378E3A94"/>
    <w:rsid w:val="379629EC"/>
    <w:rsid w:val="38AC28BC"/>
    <w:rsid w:val="39673E86"/>
    <w:rsid w:val="39D72754"/>
    <w:rsid w:val="3A0D261A"/>
    <w:rsid w:val="3A381DA9"/>
    <w:rsid w:val="3A386636"/>
    <w:rsid w:val="3AF92B9E"/>
    <w:rsid w:val="3B0E3A37"/>
    <w:rsid w:val="3B2836D2"/>
    <w:rsid w:val="3B47390A"/>
    <w:rsid w:val="3BEB24E7"/>
    <w:rsid w:val="3C0417FB"/>
    <w:rsid w:val="3CA3789E"/>
    <w:rsid w:val="3CBF7272"/>
    <w:rsid w:val="3E3E23AB"/>
    <w:rsid w:val="3F5B19F9"/>
    <w:rsid w:val="3FE0432D"/>
    <w:rsid w:val="3FF859A7"/>
    <w:rsid w:val="40B01F51"/>
    <w:rsid w:val="42C9270B"/>
    <w:rsid w:val="43785B1B"/>
    <w:rsid w:val="43C33D49"/>
    <w:rsid w:val="4413082D"/>
    <w:rsid w:val="443A04B0"/>
    <w:rsid w:val="455A18ED"/>
    <w:rsid w:val="465515D1"/>
    <w:rsid w:val="471072A6"/>
    <w:rsid w:val="47461416"/>
    <w:rsid w:val="477B5067"/>
    <w:rsid w:val="481E59F2"/>
    <w:rsid w:val="48CC0861"/>
    <w:rsid w:val="48F36E7F"/>
    <w:rsid w:val="4921579A"/>
    <w:rsid w:val="495E079C"/>
    <w:rsid w:val="49AD702E"/>
    <w:rsid w:val="4A38723F"/>
    <w:rsid w:val="4A413C1A"/>
    <w:rsid w:val="4A82670C"/>
    <w:rsid w:val="4ABD7744"/>
    <w:rsid w:val="4AD663FF"/>
    <w:rsid w:val="4B70367E"/>
    <w:rsid w:val="4B865D88"/>
    <w:rsid w:val="4B92472D"/>
    <w:rsid w:val="4BD20FCE"/>
    <w:rsid w:val="4C96446B"/>
    <w:rsid w:val="4CF84A64"/>
    <w:rsid w:val="4D754306"/>
    <w:rsid w:val="4DCB2178"/>
    <w:rsid w:val="4DD55F23"/>
    <w:rsid w:val="4DEE7C24"/>
    <w:rsid w:val="4E4D7031"/>
    <w:rsid w:val="4EB1136E"/>
    <w:rsid w:val="4ED60DD5"/>
    <w:rsid w:val="4FD52CDA"/>
    <w:rsid w:val="5026661C"/>
    <w:rsid w:val="502F338A"/>
    <w:rsid w:val="507C59AC"/>
    <w:rsid w:val="50B96C00"/>
    <w:rsid w:val="51D11D27"/>
    <w:rsid w:val="522B3084"/>
    <w:rsid w:val="52D4387D"/>
    <w:rsid w:val="53141584"/>
    <w:rsid w:val="53B4545D"/>
    <w:rsid w:val="53DA4EC3"/>
    <w:rsid w:val="53F91BD6"/>
    <w:rsid w:val="544D7D8B"/>
    <w:rsid w:val="54BB2F47"/>
    <w:rsid w:val="54FC70BB"/>
    <w:rsid w:val="55410F72"/>
    <w:rsid w:val="55CC152A"/>
    <w:rsid w:val="567D5E62"/>
    <w:rsid w:val="57A852D8"/>
    <w:rsid w:val="57B43C7D"/>
    <w:rsid w:val="58421289"/>
    <w:rsid w:val="585A2A77"/>
    <w:rsid w:val="58920FA0"/>
    <w:rsid w:val="58BD4DB3"/>
    <w:rsid w:val="592B61C1"/>
    <w:rsid w:val="596D0588"/>
    <w:rsid w:val="598D17CF"/>
    <w:rsid w:val="59DE6B7A"/>
    <w:rsid w:val="5A2A4DB4"/>
    <w:rsid w:val="5A81201B"/>
    <w:rsid w:val="5AC61EFB"/>
    <w:rsid w:val="5B110DF8"/>
    <w:rsid w:val="5B5D1941"/>
    <w:rsid w:val="5B61236E"/>
    <w:rsid w:val="5B621DEC"/>
    <w:rsid w:val="5BA30291"/>
    <w:rsid w:val="5BCD3301"/>
    <w:rsid w:val="5C8562E6"/>
    <w:rsid w:val="5CA37ECD"/>
    <w:rsid w:val="5CBF734C"/>
    <w:rsid w:val="5CCE20A1"/>
    <w:rsid w:val="5D5E6A84"/>
    <w:rsid w:val="5DE705F3"/>
    <w:rsid w:val="5EBB3B43"/>
    <w:rsid w:val="5EBC43C6"/>
    <w:rsid w:val="5EF534F9"/>
    <w:rsid w:val="5F503303"/>
    <w:rsid w:val="5F9C5723"/>
    <w:rsid w:val="5FB9422C"/>
    <w:rsid w:val="60940AF0"/>
    <w:rsid w:val="60A07495"/>
    <w:rsid w:val="60B612C5"/>
    <w:rsid w:val="60C72C73"/>
    <w:rsid w:val="611C3BF2"/>
    <w:rsid w:val="614C646A"/>
    <w:rsid w:val="6155202D"/>
    <w:rsid w:val="61642270"/>
    <w:rsid w:val="621F43E9"/>
    <w:rsid w:val="625E3163"/>
    <w:rsid w:val="62710B4C"/>
    <w:rsid w:val="62EC076F"/>
    <w:rsid w:val="648669A1"/>
    <w:rsid w:val="65336B29"/>
    <w:rsid w:val="654F4FE5"/>
    <w:rsid w:val="65EE2A50"/>
    <w:rsid w:val="66285F62"/>
    <w:rsid w:val="66B14AAB"/>
    <w:rsid w:val="67424E02"/>
    <w:rsid w:val="68446E1F"/>
    <w:rsid w:val="68E255FF"/>
    <w:rsid w:val="69A27DD9"/>
    <w:rsid w:val="69F60125"/>
    <w:rsid w:val="6A040A94"/>
    <w:rsid w:val="6B1940CB"/>
    <w:rsid w:val="6CCC31F7"/>
    <w:rsid w:val="6D54763D"/>
    <w:rsid w:val="6D6D6796"/>
    <w:rsid w:val="6DB427D1"/>
    <w:rsid w:val="6E292877"/>
    <w:rsid w:val="6E90727C"/>
    <w:rsid w:val="6EE64070"/>
    <w:rsid w:val="70677838"/>
    <w:rsid w:val="70983CE4"/>
    <w:rsid w:val="70EB399A"/>
    <w:rsid w:val="710A6328"/>
    <w:rsid w:val="71A843FB"/>
    <w:rsid w:val="71C612AF"/>
    <w:rsid w:val="72281098"/>
    <w:rsid w:val="72710C91"/>
    <w:rsid w:val="72DC25AE"/>
    <w:rsid w:val="72FB4517"/>
    <w:rsid w:val="731A43C7"/>
    <w:rsid w:val="731A4E85"/>
    <w:rsid w:val="732A1EB2"/>
    <w:rsid w:val="73B77C00"/>
    <w:rsid w:val="73F83D3E"/>
    <w:rsid w:val="73FE64E8"/>
    <w:rsid w:val="742B6098"/>
    <w:rsid w:val="742C4E6F"/>
    <w:rsid w:val="74504F02"/>
    <w:rsid w:val="76195D39"/>
    <w:rsid w:val="763224E5"/>
    <w:rsid w:val="78751649"/>
    <w:rsid w:val="78F30652"/>
    <w:rsid w:val="7971690F"/>
    <w:rsid w:val="79CB6ED9"/>
    <w:rsid w:val="79D51B05"/>
    <w:rsid w:val="7A1C5986"/>
    <w:rsid w:val="7AEA15E0"/>
    <w:rsid w:val="7B0703E4"/>
    <w:rsid w:val="7B6041A6"/>
    <w:rsid w:val="7B71249F"/>
    <w:rsid w:val="7BAF26A4"/>
    <w:rsid w:val="7C876A78"/>
    <w:rsid w:val="7CF93D5D"/>
    <w:rsid w:val="7CFC16B3"/>
    <w:rsid w:val="7D366C7B"/>
    <w:rsid w:val="7DDA1DE0"/>
    <w:rsid w:val="7E061F7C"/>
    <w:rsid w:val="7E8E5C23"/>
    <w:rsid w:val="7ECB1729"/>
    <w:rsid w:val="7F166E48"/>
    <w:rsid w:val="7FE3020F"/>
    <w:rsid w:val="7FF20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4"/>
    <w:qFormat/>
    <w:uiPriority w:val="0"/>
    <w:rPr>
      <w:rFonts w:ascii="Microsoft YaHei UI" w:eastAsia="Microsoft YaHei UI"/>
      <w:sz w:val="18"/>
      <w:szCs w:val="18"/>
    </w:rPr>
  </w:style>
  <w:style w:type="paragraph" w:styleId="3">
    <w:name w:val="annotation text"/>
    <w:basedOn w:val="1"/>
    <w:qFormat/>
    <w:uiPriority w:val="0"/>
    <w:pPr>
      <w:jc w:val="left"/>
    </w:pPr>
  </w:style>
  <w:style w:type="paragraph" w:styleId="4">
    <w:name w:val="Body Text"/>
    <w:basedOn w:val="1"/>
    <w:next w:val="1"/>
    <w:qFormat/>
    <w:uiPriority w:val="0"/>
    <w:pPr>
      <w:spacing w:after="120"/>
    </w:pPr>
    <w:rPr>
      <w:kern w:val="0"/>
      <w:sz w:val="20"/>
    </w:rPr>
  </w:style>
  <w:style w:type="paragraph" w:styleId="5">
    <w:name w:val="Body Text Indent"/>
    <w:basedOn w:val="1"/>
    <w:qFormat/>
    <w:uiPriority w:val="0"/>
    <w:pPr>
      <w:spacing w:line="500" w:lineRule="exact"/>
      <w:ind w:firstLine="539"/>
    </w:pPr>
    <w:rPr>
      <w:szCs w:val="21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11">
    <w:name w:val="Hyperlink"/>
    <w:basedOn w:val="10"/>
    <w:qFormat/>
    <w:uiPriority w:val="0"/>
    <w:rPr>
      <w:color w:val="0000FF"/>
      <w:u w:val="single"/>
    </w:rPr>
  </w:style>
  <w:style w:type="paragraph" w:styleId="12">
    <w:name w:val="List Paragraph"/>
    <w:basedOn w:val="1"/>
    <w:qFormat/>
    <w:uiPriority w:val="99"/>
    <w:pPr>
      <w:ind w:firstLine="420" w:firstLineChars="200"/>
    </w:pPr>
  </w:style>
  <w:style w:type="paragraph" w:customStyle="1" w:styleId="13">
    <w:name w:val="Char1"/>
    <w:basedOn w:val="2"/>
    <w:qFormat/>
    <w:uiPriority w:val="0"/>
    <w:pPr>
      <w:shd w:val="clear" w:color="auto" w:fill="000080"/>
      <w:adjustRightInd w:val="0"/>
      <w:spacing w:line="436" w:lineRule="exact"/>
      <w:ind w:left="357"/>
      <w:jc w:val="left"/>
      <w:outlineLvl w:val="3"/>
    </w:pPr>
    <w:rPr>
      <w:rFonts w:ascii="Times New Roman" w:eastAsia="宋体"/>
      <w:sz w:val="21"/>
      <w:szCs w:val="24"/>
    </w:rPr>
  </w:style>
  <w:style w:type="character" w:customStyle="1" w:styleId="14">
    <w:name w:val="文档结构图 字符"/>
    <w:basedOn w:val="10"/>
    <w:link w:val="2"/>
    <w:qFormat/>
    <w:uiPriority w:val="0"/>
    <w:rPr>
      <w:rFonts w:ascii="Microsoft YaHei UI" w:eastAsia="Microsoft YaHei UI"/>
      <w:kern w:val="2"/>
      <w:sz w:val="18"/>
      <w:szCs w:val="18"/>
    </w:rPr>
  </w:style>
  <w:style w:type="paragraph" w:customStyle="1" w:styleId="15">
    <w:name w:val="修订1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">
    <w:name w:val="Revision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Windows 10</Company>
  <Pages>5</Pages>
  <Words>2461</Words>
  <Characters>2749</Characters>
  <Lines>22</Lines>
  <Paragraphs>6</Paragraphs>
  <TotalTime>5</TotalTime>
  <ScaleCrop>false</ScaleCrop>
  <LinksUpToDate>false</LinksUpToDate>
  <CharactersWithSpaces>2786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2023-04-12T12:25:00Z</dcterms:created>
  <dc:creator>37527</dc:creator>
  <cp:lastModifiedBy>.</cp:lastModifiedBy>
  <cp:lastPrinted>2023-08-21T09:21:00Z</cp:lastPrinted>
  <dcterms:modified xsi:type="dcterms:W3CDTF">2024-06-14T02:36:35Z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8257F250482544D0AB4A08120258C71D_13</vt:lpwstr>
  </property>
</Properties>
</file>